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5D" w:rsidRDefault="00E97AB4">
      <w:pPr>
        <w:rPr>
          <w:b/>
        </w:rPr>
      </w:pPr>
      <w:r>
        <w:rPr>
          <w:b/>
          <w:sz w:val="28"/>
          <w:szCs w:val="28"/>
        </w:rPr>
        <w:t>Rechnergestützte Lernmodelle für eine qualifizierte Ausbildung</w:t>
      </w:r>
    </w:p>
    <w:p w:rsidR="00E97AB4" w:rsidRDefault="00E97AB4">
      <w:pPr>
        <w:rPr>
          <w:b/>
        </w:rPr>
      </w:pPr>
    </w:p>
    <w:p w:rsidR="00E97AB4" w:rsidRDefault="00E97AB4">
      <w:pPr>
        <w:rPr>
          <w:b/>
        </w:rPr>
      </w:pPr>
    </w:p>
    <w:p w:rsidR="00E97AB4" w:rsidRDefault="00E97AB4">
      <w:r>
        <w:rPr>
          <w:b/>
        </w:rPr>
        <w:t>Kurzfassung</w:t>
      </w:r>
    </w:p>
    <w:p w:rsidR="00E97AB4" w:rsidRDefault="00E97AB4"/>
    <w:p w:rsidR="0028405B" w:rsidRDefault="00E97AB4" w:rsidP="00F91E23">
      <w:pPr>
        <w:jc w:val="both"/>
      </w:pPr>
      <w:r>
        <w:t xml:space="preserve">Die heutige Generation von Wissenschaftlern und Laborpersonal steuert innerhalb des Technologiestandortes Sachsen einen erfolgreichen Kurs, denn in den </w:t>
      </w:r>
      <w:r w:rsidR="00C14125">
        <w:t>Hochtechnologie-Branchen</w:t>
      </w:r>
      <w:r>
        <w:t xml:space="preserve"> des Landes werden zunehmend junge Leute gebraucht</w:t>
      </w:r>
      <w:r w:rsidR="0028405B">
        <w:t>, die sich auf dem neuesten Ausbildungsstand befinden. Nicht zuletzt tragen computerisierte Lernmodelle dazu bei, künftige Berufsbildner und Facharbeiter auf die hohen Anforderungen des Hightech-Einsatzes in der Biotechnologie, auf dem Gebiet des integrierten Umweltschutzes und in der Umwelttechnik vorzubereiten.</w:t>
      </w:r>
    </w:p>
    <w:p w:rsidR="00E97AB4" w:rsidRDefault="0028405B" w:rsidP="00E97AB4">
      <w:pPr>
        <w:jc w:val="both"/>
      </w:pPr>
      <w:r>
        <w:t xml:space="preserve">Unter den Gesichtspunkten eines ergonomisch-didaktischen Handlings zählen dazu sowohl die Mikroskopie-Bildanalyse biologischer Präparate, als auch die Bedienoberflächen- Gestaltung zur </w:t>
      </w:r>
      <w:r w:rsidR="00D135B0">
        <w:t xml:space="preserve">Prozess-Visualisierung/Steuerung </w:t>
      </w:r>
      <w:r>
        <w:t>von Bioreaktorsystemen</w:t>
      </w:r>
      <w:r w:rsidR="00D135B0">
        <w:t xml:space="preserve">, </w:t>
      </w:r>
      <w:r w:rsidR="004675CD">
        <w:t xml:space="preserve">eines Wärme-pumpen und </w:t>
      </w:r>
      <w:r w:rsidR="00D135B0">
        <w:t>Brennstoffzellen-M</w:t>
      </w:r>
      <w:r w:rsidR="002252E6">
        <w:t>odell</w:t>
      </w:r>
      <w:r w:rsidR="004675CD">
        <w:t>s</w:t>
      </w:r>
      <w:r>
        <w:t>.</w:t>
      </w:r>
      <w:r w:rsidR="00E97AB4">
        <w:t xml:space="preserve"> </w:t>
      </w:r>
    </w:p>
    <w:p w:rsidR="00D135B0" w:rsidRDefault="00D135B0" w:rsidP="00E97AB4">
      <w:pPr>
        <w:jc w:val="both"/>
      </w:pPr>
      <w:r>
        <w:t>Mit Hilfe der Bildanalyse-Software</w:t>
      </w:r>
      <w:r w:rsidR="004675CD">
        <w:t xml:space="preserve"> </w:t>
      </w:r>
      <w:r>
        <w:t>„</w:t>
      </w:r>
      <w:r w:rsidR="00D35048">
        <w:t>IMAQ Vision Builder</w:t>
      </w:r>
      <w:r>
        <w:t>“ und der Programmiersprache „</w:t>
      </w:r>
      <w:r w:rsidRPr="00D135B0">
        <w:t>LabVIEW</w:t>
      </w:r>
      <w:r>
        <w:t>“</w:t>
      </w:r>
      <w:r w:rsidR="00D771AC">
        <w:t xml:space="preserve"> von National Instruments</w:t>
      </w:r>
      <w:r w:rsidRPr="00D135B0">
        <w:t xml:space="preserve"> </w:t>
      </w:r>
      <w:r>
        <w:t>war es möglich, diese Lernmodelle kurzfristig zu realisieren und in den Ausbildungsprozess einzubeziehen.</w:t>
      </w:r>
    </w:p>
    <w:p w:rsidR="002252E6" w:rsidRDefault="002252E6" w:rsidP="00E97AB4">
      <w:pPr>
        <w:jc w:val="both"/>
      </w:pPr>
    </w:p>
    <w:p w:rsidR="008310C2" w:rsidRDefault="008310C2" w:rsidP="00E97AB4">
      <w:pPr>
        <w:jc w:val="both"/>
        <w:rPr>
          <w:b/>
          <w:lang w:val="en-GB"/>
        </w:rPr>
      </w:pPr>
      <w:r w:rsidRPr="006E15E5">
        <w:rPr>
          <w:b/>
          <w:lang w:val="en-GB"/>
        </w:rPr>
        <w:t>Abstract</w:t>
      </w:r>
    </w:p>
    <w:p w:rsidR="001731C2" w:rsidRPr="006E15E5" w:rsidRDefault="001731C2" w:rsidP="00E97AB4">
      <w:pPr>
        <w:jc w:val="both"/>
        <w:rPr>
          <w:b/>
          <w:lang w:val="en-GB"/>
        </w:rPr>
      </w:pPr>
    </w:p>
    <w:p w:rsidR="008310C2" w:rsidRPr="00F124A0" w:rsidRDefault="006E15E5" w:rsidP="00E97AB4">
      <w:pPr>
        <w:jc w:val="both"/>
        <w:rPr>
          <w:lang w:val="en-GB"/>
        </w:rPr>
      </w:pPr>
      <w:r w:rsidRPr="006E15E5">
        <w:rPr>
          <w:lang w:val="en-GB"/>
        </w:rPr>
        <w:t xml:space="preserve">The tonight generation of scientists and laborpersonells </w:t>
      </w:r>
      <w:r>
        <w:rPr>
          <w:lang w:val="en-GB"/>
        </w:rPr>
        <w:t xml:space="preserve">navigate inside the technology </w:t>
      </w:r>
      <w:r w:rsidRPr="006D1DF4">
        <w:rPr>
          <w:lang w:val="en-GB"/>
        </w:rPr>
        <w:t>location</w:t>
      </w:r>
      <w:r w:rsidR="004925AF">
        <w:rPr>
          <w:lang w:val="en-GB"/>
        </w:rPr>
        <w:t xml:space="preserve"> of</w:t>
      </w:r>
      <w:r w:rsidRPr="006D1DF4">
        <w:rPr>
          <w:lang w:val="en-GB"/>
        </w:rPr>
        <w:t xml:space="preserve"> Saxony a successful course</w:t>
      </w:r>
      <w:r w:rsidR="006D1DF4" w:rsidRPr="006D1DF4">
        <w:rPr>
          <w:lang w:val="en-GB"/>
        </w:rPr>
        <w:t>, because the hightechnology industries want young</w:t>
      </w:r>
      <w:r w:rsidR="006D1DF4">
        <w:rPr>
          <w:lang w:val="en-GB"/>
        </w:rPr>
        <w:t xml:space="preserve"> peoples</w:t>
      </w:r>
      <w:r>
        <w:rPr>
          <w:lang w:val="en-GB"/>
        </w:rPr>
        <w:t xml:space="preserve"> </w:t>
      </w:r>
      <w:r w:rsidR="001731C2">
        <w:rPr>
          <w:lang w:val="en-GB"/>
        </w:rPr>
        <w:t>with a highminded</w:t>
      </w:r>
      <w:r w:rsidR="006D1DF4">
        <w:rPr>
          <w:lang w:val="en-GB"/>
        </w:rPr>
        <w:t xml:space="preserve"> education</w:t>
      </w:r>
      <w:r w:rsidR="001731C2">
        <w:rPr>
          <w:lang w:val="en-GB"/>
        </w:rPr>
        <w:t xml:space="preserve"> </w:t>
      </w:r>
      <w:r w:rsidR="001731C2" w:rsidRPr="006D1DF4">
        <w:rPr>
          <w:lang w:val="en-GB"/>
        </w:rPr>
        <w:t>progressive</w:t>
      </w:r>
      <w:r w:rsidR="00F124A0">
        <w:rPr>
          <w:lang w:val="en-GB"/>
        </w:rPr>
        <w:t>ly</w:t>
      </w:r>
      <w:r w:rsidR="006D1DF4">
        <w:rPr>
          <w:lang w:val="en-GB"/>
        </w:rPr>
        <w:t>.</w:t>
      </w:r>
      <w:r w:rsidR="001731C2">
        <w:rPr>
          <w:lang w:val="en-GB"/>
        </w:rPr>
        <w:t xml:space="preserve"> Not at last computer controlled modells of education contribute</w:t>
      </w:r>
      <w:r w:rsidR="00407AD8">
        <w:rPr>
          <w:lang w:val="en-GB"/>
        </w:rPr>
        <w:t xml:space="preserve"> in future </w:t>
      </w:r>
      <w:r w:rsidR="001731C2" w:rsidRPr="00F124A0">
        <w:rPr>
          <w:lang w:val="en-GB"/>
        </w:rPr>
        <w:t>instructor</w:t>
      </w:r>
      <w:r w:rsidR="00F124A0" w:rsidRPr="00F124A0">
        <w:rPr>
          <w:lang w:val="en-GB"/>
        </w:rPr>
        <w:t>s</w:t>
      </w:r>
      <w:r w:rsidR="001731C2" w:rsidRPr="00F124A0">
        <w:rPr>
          <w:lang w:val="en-GB"/>
        </w:rPr>
        <w:t xml:space="preserve"> and technician</w:t>
      </w:r>
      <w:r w:rsidR="00F124A0" w:rsidRPr="00F124A0">
        <w:rPr>
          <w:lang w:val="en-GB"/>
        </w:rPr>
        <w:t>s</w:t>
      </w:r>
      <w:r w:rsidR="00F124A0">
        <w:rPr>
          <w:lang w:val="en-GB"/>
        </w:rPr>
        <w:t xml:space="preserve"> to be coached of the hightec</w:t>
      </w:r>
      <w:r w:rsidR="00407AD8">
        <w:rPr>
          <w:lang w:val="en-GB"/>
        </w:rPr>
        <w:t>h</w:t>
      </w:r>
      <w:r w:rsidR="00F124A0">
        <w:rPr>
          <w:lang w:val="en-GB"/>
        </w:rPr>
        <w:t xml:space="preserve"> employment</w:t>
      </w:r>
      <w:r w:rsidR="007F177F">
        <w:rPr>
          <w:lang w:val="en-GB"/>
        </w:rPr>
        <w:t xml:space="preserve"> the </w:t>
      </w:r>
      <w:r w:rsidR="00F124A0">
        <w:rPr>
          <w:lang w:val="en-GB"/>
        </w:rPr>
        <w:t xml:space="preserve">biotechnologies, the area of integreated conversation and the environmental technologies.  </w:t>
      </w:r>
    </w:p>
    <w:p w:rsidR="008310C2" w:rsidRDefault="00407AD8" w:rsidP="00E97AB4">
      <w:pPr>
        <w:jc w:val="both"/>
        <w:rPr>
          <w:lang w:val="en-GB"/>
        </w:rPr>
      </w:pPr>
      <w:r w:rsidRPr="00407AD8">
        <w:rPr>
          <w:lang w:val="en-GB"/>
        </w:rPr>
        <w:t>Under the viewpoint</w:t>
      </w:r>
      <w:r>
        <w:rPr>
          <w:lang w:val="en-GB"/>
        </w:rPr>
        <w:t xml:space="preserve"> of an ergonomical and didactical handling </w:t>
      </w:r>
      <w:r w:rsidR="00173754">
        <w:rPr>
          <w:lang w:val="en-GB"/>
        </w:rPr>
        <w:t>to count that as well the microscopy image analysis</w:t>
      </w:r>
      <w:r w:rsidR="004925AF">
        <w:rPr>
          <w:lang w:val="en-GB"/>
        </w:rPr>
        <w:t xml:space="preserve"> of</w:t>
      </w:r>
      <w:r w:rsidR="00173754">
        <w:rPr>
          <w:lang w:val="en-GB"/>
        </w:rPr>
        <w:t xml:space="preserve"> biological preparations, as the computersurface design to process-visualisation/controlling of bioreactorsystems, </w:t>
      </w:r>
      <w:r w:rsidR="004925AF">
        <w:rPr>
          <w:lang w:val="en-GB"/>
        </w:rPr>
        <w:t>a modell of heatpump and a modell of full cell</w:t>
      </w:r>
      <w:r w:rsidR="00173754">
        <w:rPr>
          <w:lang w:val="en-GB"/>
        </w:rPr>
        <w:t>.</w:t>
      </w:r>
    </w:p>
    <w:p w:rsidR="004925AF" w:rsidRPr="007F177F" w:rsidRDefault="007F177F" w:rsidP="00E97AB4">
      <w:pPr>
        <w:jc w:val="both"/>
        <w:rPr>
          <w:lang w:val="en-GB"/>
        </w:rPr>
      </w:pPr>
      <w:r>
        <w:rPr>
          <w:lang w:val="en-GB"/>
        </w:rPr>
        <w:t xml:space="preserve">With useful software of image analysis the “IMAQ Vision Builder” and the </w:t>
      </w:r>
      <w:r w:rsidRPr="007F177F">
        <w:rPr>
          <w:lang w:val="en-GB"/>
        </w:rPr>
        <w:t>programming language</w:t>
      </w:r>
      <w:r>
        <w:rPr>
          <w:lang w:val="en-GB"/>
        </w:rPr>
        <w:t xml:space="preserve"> “LabVIEW” from National Instruments it was possible the education modells to realize short-term and </w:t>
      </w:r>
      <w:r w:rsidR="00145A3E">
        <w:rPr>
          <w:lang w:val="en-GB"/>
        </w:rPr>
        <w:t>included in the education process.</w:t>
      </w:r>
    </w:p>
    <w:p w:rsidR="00407AD8" w:rsidRPr="007F177F" w:rsidRDefault="00407AD8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8310C2" w:rsidRPr="006E15E5" w:rsidRDefault="008310C2" w:rsidP="00E97AB4">
      <w:pPr>
        <w:jc w:val="both"/>
        <w:rPr>
          <w:b/>
          <w:lang w:val="en-GB"/>
        </w:rPr>
      </w:pPr>
    </w:p>
    <w:p w:rsidR="00DF2052" w:rsidRDefault="00DF2052" w:rsidP="00E97AB4">
      <w:pPr>
        <w:jc w:val="both"/>
        <w:rPr>
          <w:b/>
          <w:lang w:val="en-GB"/>
        </w:rPr>
      </w:pPr>
    </w:p>
    <w:p w:rsidR="00DF2052" w:rsidRDefault="00DF2052" w:rsidP="00E97AB4">
      <w:pPr>
        <w:jc w:val="both"/>
        <w:rPr>
          <w:b/>
          <w:lang w:val="en-GB"/>
        </w:rPr>
      </w:pPr>
    </w:p>
    <w:p w:rsidR="002252E6" w:rsidRDefault="002252E6" w:rsidP="00E97AB4">
      <w:pPr>
        <w:jc w:val="both"/>
      </w:pPr>
      <w:r>
        <w:rPr>
          <w:b/>
        </w:rPr>
        <w:lastRenderedPageBreak/>
        <w:t>Einleitung</w:t>
      </w:r>
    </w:p>
    <w:p w:rsidR="00D771AC" w:rsidRDefault="00D771AC" w:rsidP="00E97AB4">
      <w:pPr>
        <w:jc w:val="both"/>
      </w:pPr>
    </w:p>
    <w:p w:rsidR="004C415A" w:rsidRDefault="00B518AF" w:rsidP="00E97AB4">
      <w:pPr>
        <w:jc w:val="both"/>
      </w:pPr>
      <w:r>
        <w:t>In Lehre und Forschung, insbesondere bei der Ausbi</w:t>
      </w:r>
      <w:r w:rsidR="00254C01">
        <w:t>ldung von Biologie-, Chemie-,</w:t>
      </w:r>
      <w:r>
        <w:t xml:space="preserve"> Physiklaboranten</w:t>
      </w:r>
      <w:r w:rsidR="00254C01">
        <w:t xml:space="preserve"> und </w:t>
      </w:r>
      <w:r w:rsidR="003D5ED8">
        <w:t xml:space="preserve">den entsprechenden </w:t>
      </w:r>
      <w:r w:rsidR="00254C01">
        <w:t>Berufsbildnern</w:t>
      </w:r>
      <w:r>
        <w:t xml:space="preserve"> kommt es darauf an, </w:t>
      </w:r>
      <w:r w:rsidR="004C415A">
        <w:t>das Wissen zu Prozessen, Anlagen, Mess- und Steuerungstechnik sowie Visualisierung, Dokumentation und Überwachung</w:t>
      </w:r>
      <w:r>
        <w:t xml:space="preserve"> schnell und didaktisch aufbereitet </w:t>
      </w:r>
      <w:r w:rsidR="004C415A">
        <w:t>vermitteln zu können (Bild 1).</w:t>
      </w:r>
    </w:p>
    <w:p w:rsidR="00A82C74" w:rsidRDefault="00A82C74" w:rsidP="00E97AB4">
      <w:pPr>
        <w:jc w:val="both"/>
      </w:pPr>
    </w:p>
    <w:p w:rsidR="00BB5830" w:rsidRDefault="00BB5830" w:rsidP="00E97AB4">
      <w:pPr>
        <w:jc w:val="both"/>
      </w:pPr>
    </w:p>
    <w:p w:rsidR="00A82C74" w:rsidRDefault="00A82C74" w:rsidP="00A82C74">
      <w:pPr>
        <w:jc w:val="both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9" type="#_x0000_t5" style="position:absolute;left:0;text-align:left;margin-left:189pt;margin-top:.6pt;width:83.25pt;height:291pt;z-index:251654144"/>
        </w:pict>
      </w:r>
    </w:p>
    <w:p w:rsidR="00A82C74" w:rsidRDefault="00A82C74" w:rsidP="00A82C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26pt;margin-top:11.4pt;width:207pt;height:19.8pt;z-index:251655168">
            <v:textbox style="mso-next-textbox:#_x0000_s1100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 w:rsidRPr="004E1B84">
                    <w:rPr>
                      <w:b/>
                    </w:rPr>
                    <w:t>Prozessüberwachung (Diagnose)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Default="00A82C74" w:rsidP="00A82C74"/>
    <w:p w:rsidR="00A82C74" w:rsidRDefault="00A82C74" w:rsidP="00A82C74">
      <w:r>
        <w:tab/>
      </w:r>
      <w:r>
        <w:tab/>
      </w:r>
    </w:p>
    <w:p w:rsidR="00A82C74" w:rsidRDefault="00A82C74" w:rsidP="00A82C74">
      <w:r>
        <w:rPr>
          <w:b/>
          <w:noProof/>
        </w:rPr>
        <w:pict>
          <v:shape id="_x0000_s1101" type="#_x0000_t202" style="position:absolute;margin-left:126pt;margin-top:6pt;width:207pt;height:19.8pt;z-index:251656192">
            <v:textbox style="mso-next-textbox:#_x0000_s1101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Prozessdokumentierung (DIAdem)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Default="00A82C74" w:rsidP="00A82C74"/>
    <w:p w:rsidR="00A82C74" w:rsidRDefault="00A82C74" w:rsidP="00A82C74"/>
    <w:p w:rsidR="00A82C74" w:rsidRDefault="00A82C74" w:rsidP="00A82C74">
      <w:r>
        <w:rPr>
          <w:noProof/>
        </w:rPr>
        <w:pict>
          <v:shape id="_x0000_s1106" type="#_x0000_t202" style="position:absolute;margin-left:126pt;margin-top:0;width:207pt;height:19.8pt;z-index:251661312">
            <v:textbox style="mso-next-textbox:#_x0000_s1106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Prozessvisualisierung (LabVIEW)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Default="00A82C74" w:rsidP="00A82C74"/>
    <w:p w:rsidR="00A82C74" w:rsidRDefault="00A82C74" w:rsidP="00A82C74">
      <w:r>
        <w:rPr>
          <w:noProof/>
        </w:rPr>
        <w:pict>
          <v:shape id="_x0000_s1102" type="#_x0000_t202" style="position:absolute;margin-left:126pt;margin-top:8.4pt;width:207pt;height:19.8pt;z-index:251657216">
            <v:textbox style="mso-next-textbox:#_x0000_s1102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Prozesssteuerung (Aktorik)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Default="00A82C74" w:rsidP="00A82C74">
      <w:pPr>
        <w:jc w:val="center"/>
        <w:rPr>
          <w:b/>
        </w:rPr>
      </w:pPr>
    </w:p>
    <w:p w:rsidR="00A82C74" w:rsidRDefault="00A82C74" w:rsidP="00A82C74">
      <w:pPr>
        <w:jc w:val="center"/>
        <w:rPr>
          <w:b/>
        </w:rPr>
      </w:pPr>
    </w:p>
    <w:p w:rsidR="00A82C74" w:rsidRDefault="00A82C74" w:rsidP="00A82C74">
      <w:pPr>
        <w:jc w:val="center"/>
        <w:rPr>
          <w:b/>
        </w:rPr>
      </w:pPr>
      <w:r>
        <w:rPr>
          <w:b/>
          <w:noProof/>
        </w:rPr>
        <w:pict>
          <v:shape id="_x0000_s1103" type="#_x0000_t202" style="position:absolute;left:0;text-align:left;margin-left:126pt;margin-top:3pt;width:207pt;height:19.8pt;z-index:251658240">
            <v:textbox style="mso-next-textbox:#_x0000_s1103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Prozessmesstechnik (Sensorik)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Prozessmesstechnik (Sensorik)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Prozessmesstechnik (Sensorik)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Default="00A82C74" w:rsidP="00A82C74">
      <w:pPr>
        <w:jc w:val="center"/>
        <w:rPr>
          <w:b/>
        </w:rPr>
      </w:pPr>
    </w:p>
    <w:p w:rsidR="00A82C74" w:rsidRDefault="00A82C74" w:rsidP="00A82C74">
      <w:pPr>
        <w:jc w:val="center"/>
        <w:rPr>
          <w:b/>
        </w:rPr>
      </w:pPr>
      <w:r>
        <w:rPr>
          <w:noProof/>
        </w:rPr>
        <w:pict>
          <v:shape id="_x0000_s1104" type="#_x0000_t202" style="position:absolute;left:0;text-align:left;margin-left:126pt;margin-top:11.45pt;width:207pt;height:19.8pt;z-index:251659264">
            <v:textbox style="mso-next-textbox:#_x0000_s1104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Prozessanlagen (Modellierung)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Default="00A82C74" w:rsidP="00A82C74">
      <w:pPr>
        <w:jc w:val="center"/>
        <w:rPr>
          <w:b/>
        </w:rPr>
      </w:pPr>
    </w:p>
    <w:p w:rsidR="00A82C74" w:rsidRDefault="00A82C74" w:rsidP="00A82C74">
      <w:pPr>
        <w:jc w:val="center"/>
        <w:rPr>
          <w:b/>
        </w:rPr>
      </w:pPr>
    </w:p>
    <w:p w:rsidR="00A82C74" w:rsidRDefault="00A82C74" w:rsidP="00A82C74">
      <w:pPr>
        <w:jc w:val="center"/>
        <w:rPr>
          <w:b/>
        </w:rPr>
      </w:pPr>
      <w:r>
        <w:rPr>
          <w:b/>
          <w:noProof/>
        </w:rPr>
        <w:pict>
          <v:shape id="_x0000_s1105" type="#_x0000_t202" style="position:absolute;left:0;text-align:left;margin-left:126pt;margin-top:6.05pt;width:207pt;height:19.8pt;z-index:251660288">
            <v:textbox style="mso-next-textbox:#_x0000_s1105">
              <w:txbxContent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Prozesswissen (Naturwissenschaften)</w:t>
                  </w:r>
                </w:p>
                <w:p w:rsidR="00A82C74" w:rsidRDefault="00A82C74" w:rsidP="00A82C74">
                  <w:pPr>
                    <w:jc w:val="center"/>
                    <w:rPr>
                      <w:b/>
                    </w:rPr>
                  </w:pPr>
                </w:p>
                <w:p w:rsidR="00A82C74" w:rsidRPr="00390E3E" w:rsidRDefault="00A82C74" w:rsidP="00A82C74"/>
              </w:txbxContent>
            </v:textbox>
          </v:shape>
        </w:pict>
      </w:r>
    </w:p>
    <w:p w:rsidR="00A82C74" w:rsidRPr="004E1B84" w:rsidRDefault="00A82C74" w:rsidP="00A82C74">
      <w:pPr>
        <w:jc w:val="center"/>
        <w:rPr>
          <w:b/>
        </w:rPr>
      </w:pPr>
    </w:p>
    <w:p w:rsidR="00A82C74" w:rsidRDefault="00A82C74" w:rsidP="00A82C74">
      <w:pPr>
        <w:jc w:val="both"/>
      </w:pPr>
    </w:p>
    <w:p w:rsidR="00A82C74" w:rsidRDefault="00A82C74" w:rsidP="00A82C74">
      <w:pPr>
        <w:jc w:val="both"/>
      </w:pPr>
    </w:p>
    <w:p w:rsidR="00A82C74" w:rsidRDefault="00A82C74" w:rsidP="00E97AB4">
      <w:pPr>
        <w:jc w:val="both"/>
      </w:pPr>
    </w:p>
    <w:p w:rsidR="00A82C74" w:rsidRDefault="00A82C74" w:rsidP="00E97AB4">
      <w:pPr>
        <w:jc w:val="both"/>
      </w:pPr>
    </w:p>
    <w:p w:rsidR="00E544C8" w:rsidRPr="00F91E23" w:rsidRDefault="00B32489" w:rsidP="00E97AB4">
      <w:pPr>
        <w:jc w:val="both"/>
        <w:rPr>
          <w:i/>
        </w:rPr>
      </w:pPr>
      <w:r w:rsidRPr="00F91E23">
        <w:rPr>
          <w:i/>
        </w:rPr>
        <w:t>B</w:t>
      </w:r>
      <w:r w:rsidR="00A82C74" w:rsidRPr="00F91E23">
        <w:rPr>
          <w:i/>
        </w:rPr>
        <w:t>ild</w:t>
      </w:r>
      <w:r w:rsidR="00F91E23" w:rsidRPr="00F91E23">
        <w:rPr>
          <w:i/>
        </w:rPr>
        <w:t xml:space="preserve"> </w:t>
      </w:r>
      <w:r w:rsidR="00A82C74" w:rsidRPr="00F91E23">
        <w:rPr>
          <w:i/>
        </w:rPr>
        <w:t>1:Wissensmodul-Pyramide</w:t>
      </w:r>
      <w:r w:rsidR="00E544C8" w:rsidRPr="00F91E23">
        <w:rPr>
          <w:i/>
        </w:rPr>
        <w:t xml:space="preserve"> zur Prozessbeherrschung</w:t>
      </w:r>
    </w:p>
    <w:p w:rsidR="00E544C8" w:rsidRPr="00F91E23" w:rsidRDefault="00E544C8" w:rsidP="00E97AB4">
      <w:pPr>
        <w:jc w:val="both"/>
        <w:rPr>
          <w:i/>
        </w:rPr>
      </w:pPr>
    </w:p>
    <w:p w:rsidR="00D55AA1" w:rsidRDefault="00D55AA1" w:rsidP="00E97AB4">
      <w:pPr>
        <w:jc w:val="both"/>
      </w:pPr>
      <w:r>
        <w:t>Dabei werden z</w:t>
      </w:r>
      <w:r w:rsidR="004C415A">
        <w:t xml:space="preserve">ur Lehrunterstützung </w:t>
      </w:r>
      <w:r w:rsidR="00D359F9">
        <w:t xml:space="preserve">zunehmend </w:t>
      </w:r>
      <w:r>
        <w:t xml:space="preserve">computerisierte </w:t>
      </w:r>
      <w:r w:rsidR="004C415A">
        <w:t xml:space="preserve">Systeme und Modelle </w:t>
      </w:r>
      <w:r w:rsidR="00D359F9">
        <w:t xml:space="preserve">gebraucht und </w:t>
      </w:r>
      <w:r w:rsidR="004C415A">
        <w:t xml:space="preserve">eingesetzt, die über </w:t>
      </w:r>
      <w:r w:rsidR="00B518AF">
        <w:t xml:space="preserve"> </w:t>
      </w:r>
      <w:r w:rsidR="004C415A">
        <w:t>die Vorzüge einer ergonomischen Bedienoberfläche zu</w:t>
      </w:r>
      <w:r>
        <w:t>r Prozessvisualisierung</w:t>
      </w:r>
      <w:r w:rsidR="00891F22">
        <w:t>/</w:t>
      </w:r>
      <w:r>
        <w:t>Steuerung</w:t>
      </w:r>
      <w:r w:rsidR="004C415A">
        <w:t xml:space="preserve"> und der Dokumentation/Archivierung von Messdaten verfügen.</w:t>
      </w:r>
      <w:r w:rsidR="00891F22">
        <w:t xml:space="preserve"> Im </w:t>
      </w:r>
      <w:r w:rsidR="00AE26B1">
        <w:t>Einzelnen</w:t>
      </w:r>
      <w:r w:rsidR="00891F22">
        <w:t xml:space="preserve"> sind derzeit von unserer Seite verfügbar</w:t>
      </w:r>
      <w:r>
        <w:t>:</w:t>
      </w:r>
    </w:p>
    <w:p w:rsidR="00224B3A" w:rsidRDefault="00224B3A" w:rsidP="00E97AB4">
      <w:pPr>
        <w:jc w:val="both"/>
      </w:pPr>
    </w:p>
    <w:p w:rsidR="000664FB" w:rsidRDefault="00BB5830" w:rsidP="000664FB">
      <w:pPr>
        <w:numPr>
          <w:ilvl w:val="0"/>
          <w:numId w:val="1"/>
        </w:numPr>
        <w:jc w:val="both"/>
      </w:pPr>
      <w:r>
        <w:t>Bioreaktorsystem</w:t>
      </w:r>
    </w:p>
    <w:p w:rsidR="00D55AA1" w:rsidRDefault="00D55AA1" w:rsidP="000664FB">
      <w:pPr>
        <w:numPr>
          <w:ilvl w:val="0"/>
          <w:numId w:val="1"/>
        </w:numPr>
        <w:jc w:val="both"/>
      </w:pPr>
      <w:r>
        <w:t>Mikroskopie-Bildanalyse</w:t>
      </w:r>
    </w:p>
    <w:p w:rsidR="000664FB" w:rsidRDefault="000664FB" w:rsidP="000664FB">
      <w:pPr>
        <w:numPr>
          <w:ilvl w:val="0"/>
          <w:numId w:val="1"/>
        </w:numPr>
        <w:jc w:val="both"/>
      </w:pPr>
      <w:r>
        <w:t>Wärmepumpen-Modell</w:t>
      </w:r>
    </w:p>
    <w:p w:rsidR="00D55AA1" w:rsidRDefault="00D55AA1" w:rsidP="000664FB">
      <w:pPr>
        <w:numPr>
          <w:ilvl w:val="0"/>
          <w:numId w:val="1"/>
        </w:numPr>
        <w:jc w:val="both"/>
      </w:pPr>
      <w:r>
        <w:t>Brennstoffzellen-Modell</w:t>
      </w:r>
    </w:p>
    <w:p w:rsidR="00224B3A" w:rsidRDefault="00224B3A" w:rsidP="00224B3A">
      <w:pPr>
        <w:jc w:val="both"/>
      </w:pPr>
    </w:p>
    <w:p w:rsidR="00D55AA1" w:rsidRDefault="008310C2" w:rsidP="00D55AA1">
      <w:pPr>
        <w:jc w:val="both"/>
      </w:pPr>
      <w:r>
        <w:t xml:space="preserve">An Hand dieser Modelle wird die komplexe Kette </w:t>
      </w:r>
      <w:r w:rsidR="00DA5A64">
        <w:t>von Messen,</w:t>
      </w:r>
      <w:r w:rsidR="00BB5830">
        <w:t xml:space="preserve"> </w:t>
      </w:r>
      <w:r w:rsidR="00224B3A">
        <w:t>Automatisier</w:t>
      </w:r>
      <w:r w:rsidR="00BB5830">
        <w:t>e</w:t>
      </w:r>
      <w:r w:rsidR="00224B3A">
        <w:t>n,</w:t>
      </w:r>
      <w:r w:rsidR="00DA5A64">
        <w:t xml:space="preserve"> Analysieren und </w:t>
      </w:r>
      <w:r w:rsidR="00224B3A">
        <w:t xml:space="preserve">dem </w:t>
      </w:r>
      <w:r w:rsidR="00891F22">
        <w:t>Daten Management didaktisch</w:t>
      </w:r>
      <w:r>
        <w:t xml:space="preserve"> und praxisrelevant verdeutlicht.</w:t>
      </w:r>
    </w:p>
    <w:p w:rsidR="00BB5830" w:rsidRDefault="00BB5830" w:rsidP="00D55AA1">
      <w:pPr>
        <w:jc w:val="both"/>
      </w:pPr>
    </w:p>
    <w:p w:rsidR="00BB5830" w:rsidRDefault="00BB5830" w:rsidP="00D55AA1">
      <w:pPr>
        <w:jc w:val="both"/>
      </w:pPr>
    </w:p>
    <w:p w:rsidR="00BB5830" w:rsidRDefault="00BB5830" w:rsidP="00D55AA1">
      <w:pPr>
        <w:jc w:val="both"/>
      </w:pPr>
    </w:p>
    <w:p w:rsidR="00335A54" w:rsidRDefault="00335A54" w:rsidP="00D55AA1">
      <w:pPr>
        <w:jc w:val="both"/>
      </w:pPr>
    </w:p>
    <w:p w:rsidR="00BB5830" w:rsidRDefault="00BB5830" w:rsidP="00D55AA1">
      <w:pPr>
        <w:jc w:val="both"/>
      </w:pPr>
    </w:p>
    <w:p w:rsidR="008310C2" w:rsidRDefault="008310C2" w:rsidP="00D55AA1">
      <w:pPr>
        <w:jc w:val="both"/>
      </w:pPr>
    </w:p>
    <w:p w:rsidR="008310C2" w:rsidRDefault="008310C2" w:rsidP="00D55AA1">
      <w:pPr>
        <w:jc w:val="both"/>
      </w:pPr>
      <w:r>
        <w:rPr>
          <w:b/>
        </w:rPr>
        <w:lastRenderedPageBreak/>
        <w:t>Bioreaktorsystem und Mikroskopie-Bildanalyse</w:t>
      </w:r>
    </w:p>
    <w:p w:rsidR="00DA5A64" w:rsidRDefault="00DA5A64" w:rsidP="00D55AA1">
      <w:pPr>
        <w:jc w:val="both"/>
      </w:pPr>
    </w:p>
    <w:p w:rsidR="00DA5A64" w:rsidRDefault="00DA5A64" w:rsidP="00D55AA1">
      <w:pPr>
        <w:jc w:val="both"/>
      </w:pPr>
      <w:r>
        <w:t>Biotechnologien stellen besonders hohe Anforderungen an das Personal wie z. B.:</w:t>
      </w:r>
    </w:p>
    <w:p w:rsidR="00AA3B25" w:rsidRDefault="00AA3B25" w:rsidP="00D55AA1">
      <w:pPr>
        <w:jc w:val="both"/>
      </w:pPr>
    </w:p>
    <w:p w:rsidR="00DA5A64" w:rsidRDefault="00E544C8" w:rsidP="00DA5A64">
      <w:pPr>
        <w:numPr>
          <w:ilvl w:val="0"/>
          <w:numId w:val="1"/>
        </w:numPr>
        <w:jc w:val="both"/>
      </w:pPr>
      <w:r>
        <w:t>Sichere Ü</w:t>
      </w:r>
      <w:r w:rsidR="00DA5A64">
        <w:t>berwachung und Bedienung</w:t>
      </w:r>
    </w:p>
    <w:p w:rsidR="00DA5A64" w:rsidRDefault="008101F3" w:rsidP="00DA5A64">
      <w:pPr>
        <w:numPr>
          <w:ilvl w:val="0"/>
          <w:numId w:val="1"/>
        </w:numPr>
        <w:jc w:val="both"/>
      </w:pPr>
      <w:r>
        <w:t>Langzeitmes</w:t>
      </w:r>
      <w:r w:rsidR="007F60FB">
        <w:t>s</w:t>
      </w:r>
      <w:r>
        <w:t>werterfassung</w:t>
      </w:r>
    </w:p>
    <w:p w:rsidR="00DA5A64" w:rsidRDefault="00DA5A64" w:rsidP="00DA5A64">
      <w:pPr>
        <w:numPr>
          <w:ilvl w:val="0"/>
          <w:numId w:val="1"/>
        </w:numPr>
        <w:jc w:val="both"/>
      </w:pPr>
      <w:r>
        <w:t>Prozessdokumentation</w:t>
      </w:r>
    </w:p>
    <w:p w:rsidR="00BB5830" w:rsidRDefault="00BB5830" w:rsidP="00BB5830">
      <w:pPr>
        <w:ind w:left="360"/>
        <w:jc w:val="both"/>
      </w:pPr>
    </w:p>
    <w:p w:rsidR="00DA5A64" w:rsidRDefault="00DA5A64" w:rsidP="00DA5A64">
      <w:pPr>
        <w:jc w:val="both"/>
      </w:pPr>
      <w:r>
        <w:t>Testreihen müssen sich unter verschiedenen Prozessbedingungen durchführen, Datenfluten mittels Software optimal in  Datenb</w:t>
      </w:r>
      <w:r w:rsidR="008101F3">
        <w:t>anksystemen verwalten lassen um</w:t>
      </w:r>
      <w:r>
        <w:t xml:space="preserve"> nach Auswertung, im hohen Maße statistisch gesicherte </w:t>
      </w:r>
      <w:r w:rsidR="008101F3">
        <w:t>Aussagen zu</w:t>
      </w:r>
      <w:r>
        <w:t xml:space="preserve"> liefern. </w:t>
      </w:r>
    </w:p>
    <w:p w:rsidR="00DA5A64" w:rsidRDefault="00DA5A64" w:rsidP="00DA5A64">
      <w:pPr>
        <w:jc w:val="both"/>
      </w:pPr>
      <w:r>
        <w:t xml:space="preserve">Bild 2 zeigt dazu die Bedienoberfläche </w:t>
      </w:r>
      <w:r w:rsidR="00E544C8">
        <w:t>des computerisierten Biorea</w:t>
      </w:r>
      <w:r w:rsidR="008101F3">
        <w:t>ktorsystems, über dessen aktive</w:t>
      </w:r>
      <w:r w:rsidR="00E544C8">
        <w:t xml:space="preserve"> Mess- und Steuerplattform Pumpen, Rührer, Heizung, Ventile etc. ein-</w:t>
      </w:r>
      <w:r w:rsidR="00186E9F">
        <w:t>, ausgeschaltet bzw. prozessabhängig gesteuert</w:t>
      </w:r>
      <w:r w:rsidR="00E544C8">
        <w:t xml:space="preserve"> werden können.</w:t>
      </w:r>
    </w:p>
    <w:p w:rsidR="00DA5A64" w:rsidRDefault="00DA5A64" w:rsidP="00DA5A64">
      <w:pPr>
        <w:jc w:val="both"/>
      </w:pPr>
    </w:p>
    <w:p w:rsidR="00E544C8" w:rsidRDefault="00D76E62" w:rsidP="00DA5A64">
      <w:pPr>
        <w:jc w:val="both"/>
      </w:pPr>
      <w:r>
        <w:rPr>
          <w:noProof/>
        </w:rPr>
        <w:drawing>
          <wp:inline distT="0" distB="0" distL="0" distR="0">
            <wp:extent cx="5755640" cy="4312920"/>
            <wp:effectExtent l="19050" t="0" r="0" b="0"/>
            <wp:docPr id="1" name="Bild 1" descr="Biobe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bedi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8" w:rsidRDefault="00E544C8" w:rsidP="00DA5A64">
      <w:pPr>
        <w:jc w:val="both"/>
      </w:pPr>
    </w:p>
    <w:p w:rsidR="004F0F03" w:rsidRPr="00F91E23" w:rsidRDefault="00E544C8" w:rsidP="00DA5A64">
      <w:pPr>
        <w:jc w:val="both"/>
        <w:rPr>
          <w:i/>
        </w:rPr>
      </w:pPr>
      <w:r w:rsidRPr="00F91E23">
        <w:rPr>
          <w:i/>
        </w:rPr>
        <w:t xml:space="preserve">Bild 2: </w:t>
      </w:r>
      <w:r w:rsidR="004F0F03" w:rsidRPr="00F91E23">
        <w:rPr>
          <w:i/>
        </w:rPr>
        <w:t xml:space="preserve">Bedienoberfläche des </w:t>
      </w:r>
      <w:r w:rsidRPr="00F91E23">
        <w:rPr>
          <w:i/>
        </w:rPr>
        <w:t>B</w:t>
      </w:r>
      <w:r w:rsidR="00A34DB1" w:rsidRPr="00F91E23">
        <w:rPr>
          <w:i/>
        </w:rPr>
        <w:t>ioreaktorsystem</w:t>
      </w:r>
      <w:r w:rsidR="004F0F03" w:rsidRPr="00F91E23">
        <w:rPr>
          <w:i/>
        </w:rPr>
        <w:t>s</w:t>
      </w:r>
    </w:p>
    <w:p w:rsidR="009977A2" w:rsidRDefault="008101F3" w:rsidP="009977A2">
      <w:pPr>
        <w:pStyle w:val="Fuzeile"/>
        <w:tabs>
          <w:tab w:val="left" w:pos="708"/>
        </w:tabs>
        <w:spacing w:before="120"/>
        <w:jc w:val="both"/>
      </w:pPr>
      <w:r>
        <w:t>Vor dem Programmstart</w:t>
      </w:r>
      <w:r w:rsidR="009977A2">
        <w:t xml:space="preserve"> sind Pfad und File zur Messwerts</w:t>
      </w:r>
      <w:r>
        <w:t xml:space="preserve">peicherung </w:t>
      </w:r>
      <w:r w:rsidR="009977A2">
        <w:t>in die zugehörigen Eingabefen</w:t>
      </w:r>
      <w:r>
        <w:t xml:space="preserve">ster einzutragen und </w:t>
      </w:r>
      <w:r w:rsidR="009977A2">
        <w:t>der Mess-Zyklus zur Messwerterfassung in &gt;10s am Zyklus-Fenster einzustellen. Danach kann das Programm gestartet werden. Im Zeit-Fenster wird die</w:t>
      </w:r>
      <w:r>
        <w:t xml:space="preserve"> aktuelle PC-Zeit angezeigt, </w:t>
      </w:r>
      <w:r w:rsidR="009977A2">
        <w:t>bei Messwertübernahme blinkt die nebenstehende LED im Rhythmus des eingestellten Mess-Zyklus und erhöht dabei den Stand im Messung-Fenster um jeweils 1. Mit der Eintragung der S</w:t>
      </w:r>
      <w:r>
        <w:t>tartzeit im zugehörigen Fenster</w:t>
      </w:r>
      <w:r w:rsidR="009977A2">
        <w:t xml:space="preserve"> wird diese ständig von der PC-Zeit subtrahiert und im Fenster der Sek.-Summe zur Anzeige gebracht. Diese Zeit repräsentiert die Absolutzeit der Messdurchführung</w:t>
      </w:r>
      <w:r>
        <w:t xml:space="preserve"> und dient gleichzeitig als Bezugsachse zu den in der Ex</w:t>
      </w:r>
      <w:r w:rsidR="007F60FB">
        <w:t>c</w:t>
      </w:r>
      <w:r>
        <w:t>el-Tabelle abgelegten Messwerten</w:t>
      </w:r>
      <w:r w:rsidR="009977A2">
        <w:t xml:space="preserve">. </w:t>
      </w:r>
    </w:p>
    <w:p w:rsidR="009977A2" w:rsidRDefault="009977A2" w:rsidP="00254C01">
      <w:pPr>
        <w:pStyle w:val="Fuzeile"/>
        <w:tabs>
          <w:tab w:val="left" w:pos="708"/>
        </w:tabs>
        <w:jc w:val="both"/>
      </w:pPr>
      <w:r>
        <w:lastRenderedPageBreak/>
        <w:t xml:space="preserve">Über ein Kommentar-Feld besteht die </w:t>
      </w:r>
      <w:r w:rsidR="008101F3">
        <w:t>Möglichkeit</w:t>
      </w:r>
      <w:r>
        <w:t xml:space="preserve"> den Prozessverlauf zu kommentieren. Dies geschieht durch verbale Eintragu</w:t>
      </w:r>
      <w:r w:rsidR="007F60FB">
        <w:t>ng und aktiv schalten per Mousek</w:t>
      </w:r>
      <w:r>
        <w:t xml:space="preserve">lick, so dass beim LED-Blinken dieser Kommentar in die </w:t>
      </w:r>
      <w:r w:rsidR="008101F3">
        <w:t>Kommentar-Spalte der Excel-Tabelle</w:t>
      </w:r>
      <w:r w:rsidR="007F60FB">
        <w:t xml:space="preserve"> übernommen wird</w:t>
      </w:r>
      <w:r>
        <w:t xml:space="preserve">. </w:t>
      </w:r>
    </w:p>
    <w:p w:rsidR="00254C01" w:rsidRDefault="009977A2" w:rsidP="00254C01">
      <w:pPr>
        <w:pStyle w:val="Fuzeile"/>
        <w:tabs>
          <w:tab w:val="left" w:pos="708"/>
        </w:tabs>
        <w:jc w:val="both"/>
      </w:pPr>
      <w:r>
        <w:t>Für die Berechnung der Extinktion E = ln1/T mit T = U</w:t>
      </w:r>
      <w:r>
        <w:rPr>
          <w:sz w:val="18"/>
        </w:rPr>
        <w:t>mess</w:t>
      </w:r>
      <w:r>
        <w:t>/U</w:t>
      </w:r>
      <w:r>
        <w:rPr>
          <w:sz w:val="18"/>
        </w:rPr>
        <w:t>0</w:t>
      </w:r>
      <w:r>
        <w:t xml:space="preserve"> ist U</w:t>
      </w:r>
      <w:r>
        <w:rPr>
          <w:sz w:val="18"/>
        </w:rPr>
        <w:t>0</w:t>
      </w:r>
      <w:r>
        <w:t xml:space="preserve"> nach der Normierung durch den Dest.-Wasserbetrieb der Trübungssonde im U</w:t>
      </w:r>
      <w:r>
        <w:rPr>
          <w:sz w:val="18"/>
        </w:rPr>
        <w:t>0</w:t>
      </w:r>
      <w:r>
        <w:t>-Fenster einzugeben. Daraus werden entsprechend der angegeben Formeln alle Werte errechnet und in den zugehörigen Fenstern zur Anzeige gebracht.</w:t>
      </w:r>
    </w:p>
    <w:p w:rsidR="00254C01" w:rsidRDefault="009977A2" w:rsidP="00254C01">
      <w:pPr>
        <w:pStyle w:val="Fuzeile"/>
        <w:tabs>
          <w:tab w:val="left" w:pos="708"/>
        </w:tabs>
        <w:jc w:val="both"/>
      </w:pPr>
      <w:r>
        <w:t xml:space="preserve">Weiterhin ist für den Thermostat-Heizbetrieb die Einstellung der T-Soll-Temperatur am zugeordneten Eingabe-Fenster vorzunehmen. Bei Überschreiten dieser Soll-Temperatur im Reaktor wird </w:t>
      </w:r>
      <w:r w:rsidR="00367DA3">
        <w:t>die Heizung des Thermostaten ab</w:t>
      </w:r>
      <w:r>
        <w:t>geschaltet.</w:t>
      </w:r>
    </w:p>
    <w:p w:rsidR="007F60FB" w:rsidRDefault="007F60FB" w:rsidP="00254C01">
      <w:pPr>
        <w:pStyle w:val="Fuzeile"/>
        <w:tabs>
          <w:tab w:val="left" w:pos="708"/>
        </w:tabs>
        <w:jc w:val="both"/>
      </w:pPr>
    </w:p>
    <w:p w:rsidR="00186E9F" w:rsidRDefault="009D615D" w:rsidP="00DA5A64">
      <w:pPr>
        <w:jc w:val="both"/>
      </w:pPr>
      <w:r>
        <w:t xml:space="preserve">Zur analytischen Begleitung des Bioprozesses dient die </w:t>
      </w:r>
      <w:r w:rsidR="00891F22">
        <w:t xml:space="preserve">in Bild 3 dargestellte </w:t>
      </w:r>
      <w:r>
        <w:t xml:space="preserve">Mikroskopie-Bildanalyse </w:t>
      </w:r>
      <w:r w:rsidR="00891F22">
        <w:t>bestehend aus Mikroskop, Videokamera und PC-implemetierter Framegrabber-Karte NI-PCI-1411 in Verbindung mit der Bildanalyse-Software „IMAQ Vision Bu</w:t>
      </w:r>
      <w:r w:rsidR="009569E3">
        <w:t>i</w:t>
      </w:r>
      <w:r w:rsidR="00891F22">
        <w:t>lder“ von National Instruments. Die</w:t>
      </w:r>
      <w:r>
        <w:t xml:space="preserve"> </w:t>
      </w:r>
      <w:r w:rsidR="00891F22">
        <w:t xml:space="preserve">Mikroskopie-Bildanalyse </w:t>
      </w:r>
      <w:r>
        <w:t>gestattet exakte Aussagen zu Vermehrungsraten von Biomassen durch das softwareeigene Z</w:t>
      </w:r>
      <w:r w:rsidR="00D35048">
        <w:t>ählprinzip des „IMAQ Vision Builder</w:t>
      </w:r>
      <w:r>
        <w:t xml:space="preserve">“.  So wird bei der Zellanalyse mittels Script-Abarbeitung über </w:t>
      </w:r>
      <w:r w:rsidRPr="007F60FB">
        <w:rPr>
          <w:i/>
        </w:rPr>
        <w:t>Filtering</w:t>
      </w:r>
      <w:r>
        <w:t xml:space="preserve">, </w:t>
      </w:r>
      <w:r w:rsidRPr="007F60FB">
        <w:rPr>
          <w:i/>
        </w:rPr>
        <w:t>Thresholding</w:t>
      </w:r>
      <w:r>
        <w:t xml:space="preserve"> und </w:t>
      </w:r>
      <w:r w:rsidRPr="007F60FB">
        <w:rPr>
          <w:i/>
        </w:rPr>
        <w:t>Invert Binary Image</w:t>
      </w:r>
      <w:r>
        <w:t xml:space="preserve"> die Mikroskopie-Bildanalyse hinsichtlich Zell-Lage, Größe</w:t>
      </w:r>
      <w:r w:rsidR="007F60FB">
        <w:t xml:space="preserve"> und</w:t>
      </w:r>
      <w:r>
        <w:t xml:space="preserve"> Anzahl ermöglicht. Jede Zelle wird entsprechend ihrer Position vermessen, mit einer Num</w:t>
      </w:r>
      <w:r w:rsidR="00254C01">
        <w:t>m</w:t>
      </w:r>
      <w:r>
        <w:t>er versehen</w:t>
      </w:r>
      <w:r w:rsidR="007F60FB">
        <w:t>,</w:t>
      </w:r>
      <w:r>
        <w:t xml:space="preserve"> so dass deren Vermes</w:t>
      </w:r>
      <w:r w:rsidR="00254C01">
        <w:t>s</w:t>
      </w:r>
      <w:r>
        <w:t xml:space="preserve">ungsdaten an Hand dieser Nummer </w:t>
      </w:r>
      <w:r w:rsidR="00D35048">
        <w:t>der im „IMAQ Vision Builder</w:t>
      </w:r>
      <w:r>
        <w:t>“ dargestellten Tabelle entnommen werden kann.</w:t>
      </w:r>
    </w:p>
    <w:p w:rsidR="00186E9F" w:rsidRDefault="007F60FB" w:rsidP="00DA5A64">
      <w:pPr>
        <w:jc w:val="both"/>
      </w:pPr>
      <w:r>
        <w:t>U</w:t>
      </w:r>
      <w:r w:rsidR="001B3312">
        <w:t xml:space="preserve">nter anderem </w:t>
      </w:r>
      <w:r>
        <w:t xml:space="preserve">besteht </w:t>
      </w:r>
      <w:r w:rsidR="001B3312">
        <w:t>die Möglichkeit</w:t>
      </w:r>
      <w:r>
        <w:t>,</w:t>
      </w:r>
      <w:r w:rsidR="001B3312">
        <w:t xml:space="preserve"> eingefärbte tote Zellen zu lokalisieren, ihre Anzahl zu ermitteln und somit das Verhältnis flächenbezogen zwischen lebenden und toten Zellen computergestützt zu bestimmen.</w:t>
      </w:r>
    </w:p>
    <w:p w:rsidR="00BB5830" w:rsidRDefault="00BB5830" w:rsidP="00DA5A64">
      <w:pPr>
        <w:jc w:val="both"/>
      </w:pPr>
    </w:p>
    <w:p w:rsidR="00947884" w:rsidRDefault="00D76E62" w:rsidP="00DA5A64">
      <w:pPr>
        <w:jc w:val="both"/>
      </w:pPr>
      <w:r>
        <w:rPr>
          <w:noProof/>
        </w:rPr>
        <w:drawing>
          <wp:inline distT="0" distB="0" distL="0" distR="0">
            <wp:extent cx="5755640" cy="2194560"/>
            <wp:effectExtent l="19050" t="0" r="0" b="0"/>
            <wp:docPr id="2" name="Bild 2" descr="Bild-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-Mikrosk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48" w:rsidRDefault="00D35048" w:rsidP="00DA5A64">
      <w:pPr>
        <w:jc w:val="both"/>
      </w:pPr>
    </w:p>
    <w:p w:rsidR="00D35048" w:rsidRPr="00F91E23" w:rsidRDefault="00D35048" w:rsidP="00DA5A64">
      <w:pPr>
        <w:jc w:val="both"/>
        <w:rPr>
          <w:i/>
        </w:rPr>
      </w:pPr>
      <w:r w:rsidRPr="00F91E23">
        <w:rPr>
          <w:i/>
        </w:rPr>
        <w:t>Bild 3: Mikroskopie-Bildanalyse</w:t>
      </w:r>
    </w:p>
    <w:p w:rsidR="00C52E35" w:rsidRDefault="00C52E35" w:rsidP="00DA5A64">
      <w:pPr>
        <w:jc w:val="both"/>
        <w:rPr>
          <w:b/>
        </w:rPr>
      </w:pPr>
    </w:p>
    <w:p w:rsidR="00C52E35" w:rsidRDefault="00F75DE9" w:rsidP="00DA5A64">
      <w:pPr>
        <w:jc w:val="both"/>
        <w:rPr>
          <w:b/>
        </w:rPr>
      </w:pPr>
      <w:r>
        <w:rPr>
          <w:b/>
        </w:rPr>
        <w:t>Wärmepumpen- und Brennstoffzellen-Modell</w:t>
      </w:r>
    </w:p>
    <w:p w:rsidR="00254C01" w:rsidRPr="00254C01" w:rsidRDefault="00254C01" w:rsidP="00DA5A64">
      <w:pPr>
        <w:jc w:val="both"/>
        <w:rPr>
          <w:b/>
        </w:rPr>
      </w:pPr>
    </w:p>
    <w:p w:rsidR="00016034" w:rsidRDefault="00B13985" w:rsidP="00DA5A64">
      <w:pPr>
        <w:jc w:val="both"/>
      </w:pPr>
      <w:r>
        <w:t>Zunehmend werden in der Industrie Visualisierungssysteme zur Überwachung und Steuerung technisch-physikalischer Prozesse eingesetzt. Für die Aus- und Weiterbildung bedeutet das, die Befähigung der Auszubildenden insbesondere bei der Visualisierung messtechnischer Vorgänge in den entsprechenden Hochtechnologiebereichen des integrierten Umweltschutzes und der Umwelttechnik.</w:t>
      </w:r>
    </w:p>
    <w:p w:rsidR="00016034" w:rsidRDefault="00016034" w:rsidP="00016034">
      <w:pPr>
        <w:jc w:val="both"/>
      </w:pPr>
      <w:r>
        <w:t>Auf der Basis der grafischen Programmiersprache LabVIEW wurden die Bedienoberflächen zur Visualisierung sowohl eines</w:t>
      </w:r>
      <w:r w:rsidR="00335A54" w:rsidRPr="00335A54">
        <w:t xml:space="preserve"> </w:t>
      </w:r>
      <w:r w:rsidR="00335A54">
        <w:t>Wärmepumpen-Modells</w:t>
      </w:r>
      <w:r>
        <w:t xml:space="preserve"> </w:t>
      </w:r>
      <w:r w:rsidR="00DF4BB3">
        <w:t xml:space="preserve">(nicht dargestellt) </w:t>
      </w:r>
      <w:r>
        <w:t>als auch ein</w:t>
      </w:r>
      <w:r w:rsidR="00335A54">
        <w:t xml:space="preserve">es Brennstoffzellen-Modells (Bild 4) </w:t>
      </w:r>
      <w:r w:rsidR="003811E2">
        <w:t xml:space="preserve">entwickelt und </w:t>
      </w:r>
      <w:r>
        <w:t>geschaffen.</w:t>
      </w:r>
    </w:p>
    <w:p w:rsidR="00016034" w:rsidRDefault="00016034" w:rsidP="00DA5A64">
      <w:pPr>
        <w:jc w:val="both"/>
      </w:pPr>
    </w:p>
    <w:p w:rsidR="00B13985" w:rsidRDefault="00D76E62" w:rsidP="00DA5A64">
      <w:pPr>
        <w:jc w:val="both"/>
      </w:pPr>
      <w:r>
        <w:rPr>
          <w:noProof/>
        </w:rPr>
        <w:lastRenderedPageBreak/>
        <w:drawing>
          <wp:inline distT="0" distB="0" distL="0" distR="0">
            <wp:extent cx="5715000" cy="4292600"/>
            <wp:effectExtent l="19050" t="0" r="0" b="0"/>
            <wp:docPr id="3" name="Bild 3" descr="Brenn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n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85" w:rsidRDefault="00B13985" w:rsidP="00DA5A64">
      <w:pPr>
        <w:jc w:val="both"/>
      </w:pPr>
    </w:p>
    <w:p w:rsidR="00B13985" w:rsidRPr="00F91E23" w:rsidRDefault="00335A54" w:rsidP="00DA5A64">
      <w:pPr>
        <w:jc w:val="both"/>
        <w:rPr>
          <w:i/>
        </w:rPr>
      </w:pPr>
      <w:r w:rsidRPr="00F91E23">
        <w:rPr>
          <w:i/>
        </w:rPr>
        <w:t xml:space="preserve">Bild 4: </w:t>
      </w:r>
      <w:r w:rsidR="00CE09AD">
        <w:rPr>
          <w:i/>
        </w:rPr>
        <w:t xml:space="preserve">Bedienoberfläche des </w:t>
      </w:r>
      <w:r w:rsidRPr="00F91E23">
        <w:rPr>
          <w:i/>
        </w:rPr>
        <w:t>Brennsto</w:t>
      </w:r>
      <w:r w:rsidR="00CE09AD">
        <w:rPr>
          <w:i/>
        </w:rPr>
        <w:t>ffzellen-Modells</w:t>
      </w:r>
    </w:p>
    <w:p w:rsidR="008F737D" w:rsidRDefault="008F737D" w:rsidP="00DA5A64">
      <w:pPr>
        <w:jc w:val="both"/>
        <w:rPr>
          <w:b/>
        </w:rPr>
      </w:pPr>
    </w:p>
    <w:p w:rsidR="00335A54" w:rsidRDefault="00335A54" w:rsidP="00DA5A64">
      <w:pPr>
        <w:jc w:val="both"/>
        <w:rPr>
          <w:b/>
        </w:rPr>
      </w:pPr>
      <w:r>
        <w:rPr>
          <w:b/>
        </w:rPr>
        <w:t>Zusammenfassung</w:t>
      </w:r>
    </w:p>
    <w:p w:rsidR="00254C01" w:rsidRDefault="00254C01" w:rsidP="00DA5A64">
      <w:pPr>
        <w:jc w:val="both"/>
      </w:pPr>
    </w:p>
    <w:p w:rsidR="00C52E35" w:rsidRPr="00C52E35" w:rsidRDefault="00C52E35" w:rsidP="00C52E35">
      <w:pPr>
        <w:spacing w:after="120"/>
        <w:jc w:val="both"/>
      </w:pPr>
      <w:r w:rsidRPr="00C52E35">
        <w:t xml:space="preserve">Für die rechnergestützte Beherrschung naturwissenschaftlicher Technologien </w:t>
      </w:r>
      <w:r>
        <w:t xml:space="preserve">im Lernprozess </w:t>
      </w:r>
      <w:r w:rsidRPr="00C52E35">
        <w:t>ist die Entwicklung von Lösung</w:t>
      </w:r>
      <w:r>
        <w:t>en erforderlich, wie z. B.</w:t>
      </w:r>
      <w:r w:rsidRPr="00C52E35">
        <w:t>:</w:t>
      </w:r>
    </w:p>
    <w:p w:rsidR="00C52E35" w:rsidRPr="00C52E35" w:rsidRDefault="00C52E35" w:rsidP="00C52E35">
      <w:pPr>
        <w:numPr>
          <w:ilvl w:val="0"/>
          <w:numId w:val="2"/>
        </w:numPr>
        <w:spacing w:after="120"/>
        <w:ind w:left="714" w:hanging="357"/>
        <w:jc w:val="both"/>
      </w:pPr>
      <w:r w:rsidRPr="00C52E35">
        <w:t xml:space="preserve">Computer-Einsatz zur Gestaltung aktiver Bedienoberflächen mit den vielfältigen Möglichkeiten der </w:t>
      </w:r>
      <w:r w:rsidR="00F91E23">
        <w:t>LabVIEW-</w:t>
      </w:r>
      <w:r w:rsidR="000A3DC8" w:rsidRPr="000A3DC8">
        <w:t xml:space="preserve"> </w:t>
      </w:r>
      <w:r w:rsidR="000A3DC8">
        <w:t>Prozessv</w:t>
      </w:r>
      <w:r w:rsidR="008F737D">
        <w:t xml:space="preserve">isualisierung </w:t>
      </w:r>
    </w:p>
    <w:p w:rsidR="00C52E35" w:rsidRPr="00C52E35" w:rsidRDefault="00C52E35" w:rsidP="00C52E35">
      <w:pPr>
        <w:numPr>
          <w:ilvl w:val="0"/>
          <w:numId w:val="2"/>
        </w:numPr>
        <w:spacing w:after="120"/>
        <w:ind w:left="714" w:hanging="357"/>
        <w:jc w:val="both"/>
      </w:pPr>
      <w:r w:rsidRPr="00C52E35">
        <w:t xml:space="preserve">Aufsetzen computerisierter Mess- und Steuerplattformen, einschließlich </w:t>
      </w:r>
      <w:r w:rsidR="000A3DC8">
        <w:t>LabVIEW-</w:t>
      </w:r>
      <w:r w:rsidRPr="00C52E35">
        <w:t xml:space="preserve">Visualisierung auf vorhandene technische Anlagen. </w:t>
      </w:r>
    </w:p>
    <w:p w:rsidR="008F737D" w:rsidRDefault="00F91E23" w:rsidP="008F737D">
      <w:pPr>
        <w:numPr>
          <w:ilvl w:val="0"/>
          <w:numId w:val="2"/>
        </w:numPr>
        <w:spacing w:after="120"/>
        <w:jc w:val="both"/>
      </w:pPr>
      <w:r>
        <w:t xml:space="preserve">Einsatz von </w:t>
      </w:r>
      <w:r w:rsidR="00C52E35" w:rsidRPr="00C52E35">
        <w:t>Softwareinstrumente</w:t>
      </w:r>
      <w:r>
        <w:t>n (IMAQ Vision Builder)</w:t>
      </w:r>
      <w:r w:rsidR="00C52E35" w:rsidRPr="00C52E35">
        <w:t xml:space="preserve"> zur Optimierung und Weiterentwicklung der rechnergestütz</w:t>
      </w:r>
      <w:r>
        <w:t>ten Lösungen und</w:t>
      </w:r>
      <w:r w:rsidR="00C52E35" w:rsidRPr="00C52E35">
        <w:t xml:space="preserve"> Personalqualifizierung.</w:t>
      </w:r>
      <w:r w:rsidR="008F737D">
        <w:t xml:space="preserve"> </w:t>
      </w:r>
    </w:p>
    <w:p w:rsidR="00217707" w:rsidRDefault="00C52E35" w:rsidP="003B06F4">
      <w:pPr>
        <w:jc w:val="both"/>
      </w:pPr>
      <w:r>
        <w:t>Mit den vorgestellten Lernmodellen erfolgt, bei gleichzeitiger Qualifizierung des Personals, die Umsetzung innovativer Produkte und Dienstleistungen in enger Verbindung mit Wissenschaft, Forschung und Entwicklung</w:t>
      </w:r>
      <w:r w:rsidR="000A3DC8">
        <w:t>.</w:t>
      </w:r>
    </w:p>
    <w:p w:rsidR="003B06F4" w:rsidRDefault="003B06F4" w:rsidP="003B06F4">
      <w:pPr>
        <w:jc w:val="both"/>
      </w:pPr>
    </w:p>
    <w:p w:rsidR="00254C01" w:rsidRDefault="003B06F4" w:rsidP="00254C01">
      <w:pPr>
        <w:jc w:val="both"/>
        <w:rPr>
          <w:b/>
        </w:rPr>
      </w:pPr>
      <w:r>
        <w:rPr>
          <w:b/>
        </w:rPr>
        <w:t>Literatur</w:t>
      </w:r>
    </w:p>
    <w:p w:rsidR="00254C01" w:rsidRDefault="00254C01" w:rsidP="00254C01">
      <w:pPr>
        <w:jc w:val="both"/>
        <w:rPr>
          <w:b/>
        </w:rPr>
      </w:pPr>
    </w:p>
    <w:p w:rsidR="00254C01" w:rsidRDefault="00254C01" w:rsidP="00254C01">
      <w:pPr>
        <w:pStyle w:val="Fuzeile"/>
        <w:tabs>
          <w:tab w:val="clear" w:pos="4536"/>
          <w:tab w:val="clear" w:pos="9072"/>
        </w:tabs>
        <w:jc w:val="both"/>
      </w:pPr>
      <w:r>
        <w:t>Rahman Jamal, Andre Hagestedt</w:t>
      </w:r>
      <w:r w:rsidR="00C179DD">
        <w:t>: LabVIEW - Das Grundlagenbuch,</w:t>
      </w:r>
    </w:p>
    <w:p w:rsidR="00254C01" w:rsidRDefault="00254C01" w:rsidP="00254C01">
      <w:pPr>
        <w:pStyle w:val="Fuzeile"/>
        <w:tabs>
          <w:tab w:val="clear" w:pos="4536"/>
          <w:tab w:val="clear" w:pos="9072"/>
        </w:tabs>
        <w:spacing w:before="120"/>
        <w:jc w:val="both"/>
      </w:pPr>
      <w:r>
        <w:t>Verlag ADDISON-WESLEY München</w:t>
      </w:r>
      <w:r w:rsidR="00C179DD">
        <w:t xml:space="preserve"> (3. Auflage 2001)</w:t>
      </w:r>
    </w:p>
    <w:p w:rsidR="00254C01" w:rsidRDefault="00254C01" w:rsidP="00254C01">
      <w:pPr>
        <w:pStyle w:val="Fuzeile"/>
        <w:tabs>
          <w:tab w:val="clear" w:pos="4536"/>
          <w:tab w:val="clear" w:pos="9072"/>
        </w:tabs>
        <w:spacing w:before="120"/>
        <w:jc w:val="both"/>
        <w:rPr>
          <w:b/>
        </w:rPr>
      </w:pPr>
    </w:p>
    <w:p w:rsidR="00254C01" w:rsidRPr="00254C01" w:rsidRDefault="00254C01" w:rsidP="00254C01">
      <w:pPr>
        <w:pStyle w:val="Fuzeile"/>
        <w:tabs>
          <w:tab w:val="clear" w:pos="4536"/>
          <w:tab w:val="clear" w:pos="9072"/>
        </w:tabs>
        <w:jc w:val="both"/>
        <w:rPr>
          <w:b/>
        </w:rPr>
      </w:pPr>
    </w:p>
    <w:p w:rsidR="003B06F4" w:rsidRPr="003B06F4" w:rsidRDefault="003B06F4" w:rsidP="003B06F4">
      <w:pPr>
        <w:jc w:val="both"/>
        <w:rPr>
          <w:b/>
        </w:rPr>
      </w:pPr>
    </w:p>
    <w:sectPr w:rsidR="003B06F4" w:rsidRPr="003B0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E07"/>
    <w:multiLevelType w:val="hybridMultilevel"/>
    <w:tmpl w:val="B7AAAB68"/>
    <w:lvl w:ilvl="0" w:tplc="C5861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743AB"/>
    <w:multiLevelType w:val="hybridMultilevel"/>
    <w:tmpl w:val="1CDEB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compat/>
  <w:rsids>
    <w:rsidRoot w:val="00904DFD"/>
    <w:rsid w:val="00016034"/>
    <w:rsid w:val="000664FB"/>
    <w:rsid w:val="000A3DC8"/>
    <w:rsid w:val="00145A3E"/>
    <w:rsid w:val="001731C2"/>
    <w:rsid w:val="00173754"/>
    <w:rsid w:val="00186E9F"/>
    <w:rsid w:val="001B3312"/>
    <w:rsid w:val="00217707"/>
    <w:rsid w:val="00224B3A"/>
    <w:rsid w:val="002252E6"/>
    <w:rsid w:val="00254C01"/>
    <w:rsid w:val="00271D09"/>
    <w:rsid w:val="0028405B"/>
    <w:rsid w:val="00335A54"/>
    <w:rsid w:val="00367DA3"/>
    <w:rsid w:val="003811E2"/>
    <w:rsid w:val="00390E3E"/>
    <w:rsid w:val="003B06F4"/>
    <w:rsid w:val="003D5ED8"/>
    <w:rsid w:val="00407AD8"/>
    <w:rsid w:val="004675CD"/>
    <w:rsid w:val="004925AF"/>
    <w:rsid w:val="004C415A"/>
    <w:rsid w:val="004E1B84"/>
    <w:rsid w:val="004F0F03"/>
    <w:rsid w:val="005804CC"/>
    <w:rsid w:val="005C73C3"/>
    <w:rsid w:val="006D1DF4"/>
    <w:rsid w:val="006E15E5"/>
    <w:rsid w:val="007472B4"/>
    <w:rsid w:val="007F177F"/>
    <w:rsid w:val="007F60FB"/>
    <w:rsid w:val="008044E4"/>
    <w:rsid w:val="008101F3"/>
    <w:rsid w:val="008310C2"/>
    <w:rsid w:val="00891F22"/>
    <w:rsid w:val="008F737D"/>
    <w:rsid w:val="00904DFD"/>
    <w:rsid w:val="00912807"/>
    <w:rsid w:val="00947884"/>
    <w:rsid w:val="009569E3"/>
    <w:rsid w:val="009912DF"/>
    <w:rsid w:val="009977A2"/>
    <w:rsid w:val="009D615D"/>
    <w:rsid w:val="00A34DB1"/>
    <w:rsid w:val="00A82C74"/>
    <w:rsid w:val="00AA3B25"/>
    <w:rsid w:val="00AC605D"/>
    <w:rsid w:val="00AE26B1"/>
    <w:rsid w:val="00B13985"/>
    <w:rsid w:val="00B32489"/>
    <w:rsid w:val="00B518AF"/>
    <w:rsid w:val="00BB5830"/>
    <w:rsid w:val="00BC3846"/>
    <w:rsid w:val="00C14125"/>
    <w:rsid w:val="00C179DD"/>
    <w:rsid w:val="00C43E39"/>
    <w:rsid w:val="00C52E35"/>
    <w:rsid w:val="00CE09AD"/>
    <w:rsid w:val="00D135B0"/>
    <w:rsid w:val="00D35048"/>
    <w:rsid w:val="00D359F9"/>
    <w:rsid w:val="00D55AA1"/>
    <w:rsid w:val="00D76E62"/>
    <w:rsid w:val="00D771AC"/>
    <w:rsid w:val="00DA5A64"/>
    <w:rsid w:val="00DF2052"/>
    <w:rsid w:val="00DF4BB3"/>
    <w:rsid w:val="00E544C8"/>
    <w:rsid w:val="00E97AB4"/>
    <w:rsid w:val="00F124A0"/>
    <w:rsid w:val="00F75DE9"/>
    <w:rsid w:val="00F91E23"/>
    <w:rsid w:val="00FA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518A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9977A2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Rechnergestützte Lernmodelle für eine qualifizierte Ausbildung</vt:lpstr>
    </vt:vector>
  </TitlesOfParts>
  <Company>Home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Rechnergestützte Lernmodelle für eine qualifizierte Ausbildung</dc:title>
  <dc:creator>Schneider</dc:creator>
  <cp:lastModifiedBy>ipi</cp:lastModifiedBy>
  <cp:revision>2</cp:revision>
  <cp:lastPrinted>2004-11-29T16:28:00Z</cp:lastPrinted>
  <dcterms:created xsi:type="dcterms:W3CDTF">2015-10-19T13:50:00Z</dcterms:created>
  <dcterms:modified xsi:type="dcterms:W3CDTF">2015-10-19T13:50:00Z</dcterms:modified>
</cp:coreProperties>
</file>