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B0" w:rsidRDefault="00DB3668" w:rsidP="00F550B0">
      <w:pPr>
        <w:jc w:val="center"/>
        <w:rPr>
          <w:b/>
        </w:rPr>
      </w:pPr>
      <w:r>
        <w:rPr>
          <w:b/>
        </w:rPr>
        <w:t>LabVIEW-Simulation eines d</w:t>
      </w:r>
      <w:r w:rsidR="00F550B0" w:rsidRPr="00EF0C0B">
        <w:rPr>
          <w:b/>
        </w:rPr>
        <w:t xml:space="preserve">ialogorientierten Bioreaktors </w:t>
      </w:r>
    </w:p>
    <w:p w:rsidR="00F550B0" w:rsidRPr="00EF0C0B" w:rsidRDefault="00F550B0" w:rsidP="00F550B0">
      <w:pPr>
        <w:jc w:val="center"/>
        <w:rPr>
          <w:b/>
        </w:rPr>
      </w:pPr>
    </w:p>
    <w:p w:rsidR="00F550B0" w:rsidRPr="00492614" w:rsidRDefault="00EE07EC" w:rsidP="00F550B0">
      <w:pPr>
        <w:jc w:val="center"/>
      </w:pPr>
      <w:r>
        <w:t>Dr.-</w:t>
      </w:r>
      <w:r w:rsidR="00F550B0" w:rsidRPr="00492614">
        <w:t>Ing</w:t>
      </w:r>
      <w:r w:rsidR="00342870">
        <w:t xml:space="preserve">. Hans Schneider, </w:t>
      </w:r>
      <w:r w:rsidR="00DB3668">
        <w:t xml:space="preserve">Ulrike Oesterreich und </w:t>
      </w:r>
      <w:r w:rsidR="00B600EB">
        <w:t>Armin Hirche</w:t>
      </w:r>
    </w:p>
    <w:p w:rsidR="00492614" w:rsidRPr="00492614" w:rsidRDefault="00492614" w:rsidP="00492614">
      <w:pPr>
        <w:jc w:val="center"/>
      </w:pPr>
      <w:r w:rsidRPr="00492614">
        <w:t>BSZ Berufsschulzentrum des Gastgewerbes</w:t>
      </w:r>
      <w:r>
        <w:t xml:space="preserve"> Dresden</w:t>
      </w:r>
    </w:p>
    <w:p w:rsidR="00F550B0" w:rsidRDefault="00F550B0" w:rsidP="00492614">
      <w:pPr>
        <w:rPr>
          <w:sz w:val="22"/>
          <w:szCs w:val="22"/>
        </w:rPr>
      </w:pPr>
    </w:p>
    <w:p w:rsidR="00492614" w:rsidRPr="00633590" w:rsidRDefault="00492614" w:rsidP="00492614">
      <w:pPr>
        <w:spacing w:after="80"/>
      </w:pPr>
      <w:r w:rsidRPr="00633590">
        <w:rPr>
          <w:b/>
        </w:rPr>
        <w:t>Kurzfassung</w:t>
      </w:r>
    </w:p>
    <w:p w:rsidR="00F550B0" w:rsidRPr="00633590" w:rsidRDefault="00F550B0" w:rsidP="00492614">
      <w:pPr>
        <w:jc w:val="both"/>
      </w:pPr>
      <w:r w:rsidRPr="00633590">
        <w:t>Für di</w:t>
      </w:r>
      <w:r w:rsidR="00342870">
        <w:t>e Erhöhung des Ausbildungsgrade</w:t>
      </w:r>
      <w:r w:rsidRPr="00633590">
        <w:t xml:space="preserve"> hinsichtlich der Transparenz logischer Strukturen biotechnologischer Prozesse am Berufsschulzentrum für Gastgewerbe in Dresden stellt LabVIEW da</w:t>
      </w:r>
      <w:r w:rsidR="00342870">
        <w:t xml:space="preserve">s perfekte Didaktik-Design zur </w:t>
      </w:r>
      <w:r w:rsidRPr="00633590">
        <w:rPr>
          <w:i/>
        </w:rPr>
        <w:t>Dialogorientierten Bioreaktor-Simulation</w:t>
      </w:r>
      <w:r w:rsidR="00463311" w:rsidRPr="00633590">
        <w:t xml:space="preserve"> dar</w:t>
      </w:r>
      <w:r w:rsidRPr="00633590">
        <w:t>.</w:t>
      </w:r>
    </w:p>
    <w:p w:rsidR="00492614" w:rsidRPr="00633590" w:rsidRDefault="00F550B0" w:rsidP="00492614">
      <w:pPr>
        <w:spacing w:after="120"/>
        <w:jc w:val="both"/>
      </w:pPr>
      <w:r w:rsidRPr="00633590">
        <w:t>Nicht zuletzt dadurch werden die angehenden Abiturienten in die Lage versetzt</w:t>
      </w:r>
      <w:r w:rsidR="00342870">
        <w:t xml:space="preserve">, mit ihrem umfassenden Wissen </w:t>
      </w:r>
      <w:r w:rsidRPr="00633590">
        <w:t>biotechnologische Aufgaben zum Schutz der Umwelt</w:t>
      </w:r>
      <w:r w:rsidR="00342870">
        <w:t xml:space="preserve"> </w:t>
      </w:r>
      <w:r w:rsidRPr="00633590">
        <w:t>zu meistern.</w:t>
      </w:r>
    </w:p>
    <w:p w:rsidR="00492614" w:rsidRPr="00633590" w:rsidRDefault="00492614" w:rsidP="00492614">
      <w:pPr>
        <w:spacing w:after="120"/>
        <w:jc w:val="both"/>
      </w:pPr>
      <w:r w:rsidRPr="00633590">
        <w:t xml:space="preserve">Die Simulation </w:t>
      </w:r>
      <w:r w:rsidR="00463311" w:rsidRPr="00633590">
        <w:t xml:space="preserve">wird dabei </w:t>
      </w:r>
      <w:r w:rsidRPr="00633590">
        <w:t>durch eine virtuelle Mess- und Steuerplattform bestehend aus Behälter, Pumpen, Rührer, Heizer, Ve</w:t>
      </w:r>
      <w:r w:rsidR="00463311" w:rsidRPr="00633590">
        <w:t>ntile etc.</w:t>
      </w:r>
      <w:r w:rsidRPr="00633590">
        <w:t xml:space="preserve"> als prozessabhängig-dialogorientierte State Machine generiert. </w:t>
      </w:r>
      <w:r w:rsidR="00463311" w:rsidRPr="00633590">
        <w:rPr>
          <w:rStyle w:val="red"/>
        </w:rPr>
        <w:t>W</w:t>
      </w:r>
      <w:r w:rsidRPr="00633590">
        <w:rPr>
          <w:rStyle w:val="red"/>
        </w:rPr>
        <w:t xml:space="preserve">ahlweise </w:t>
      </w:r>
      <w:r w:rsidR="00463311" w:rsidRPr="00633590">
        <w:rPr>
          <w:rStyle w:val="red"/>
        </w:rPr>
        <w:t xml:space="preserve">werden </w:t>
      </w:r>
      <w:r w:rsidRPr="00633590">
        <w:rPr>
          <w:rStyle w:val="red"/>
        </w:rPr>
        <w:t>der temperaturabhängige Zusammenhang der Sauerstofflöslichkeit in Wasser bzw. die Extinktion bezüglich</w:t>
      </w:r>
      <w:r w:rsidR="00342870">
        <w:rPr>
          <w:rStyle w:val="red"/>
        </w:rPr>
        <w:t xml:space="preserve"> </w:t>
      </w:r>
      <w:r w:rsidRPr="00633590">
        <w:rPr>
          <w:rStyle w:val="red"/>
        </w:rPr>
        <w:t>ihrer Transmission unter LabVIEW berechnet und deren grafische Verläufe auf einem Monitor visualisiert</w:t>
      </w:r>
      <w:r w:rsidR="00EC0B1D">
        <w:rPr>
          <w:rStyle w:val="red"/>
        </w:rPr>
        <w:t xml:space="preserve"> [1]</w:t>
      </w:r>
      <w:r w:rsidRPr="00633590">
        <w:rPr>
          <w:rStyle w:val="red"/>
        </w:rPr>
        <w:t xml:space="preserve">. </w:t>
      </w:r>
      <w:r w:rsidRPr="00633590">
        <w:t>Die abgebildeten Funktionen stellen den Extinktionsverlauf</w:t>
      </w:r>
      <w:r w:rsidR="00342870">
        <w:t xml:space="preserve"> </w:t>
      </w:r>
      <w:r w:rsidRPr="00DA20E6">
        <w:rPr>
          <w:i/>
        </w:rPr>
        <w:t>E</w:t>
      </w:r>
      <w:r w:rsidRPr="00633590">
        <w:t xml:space="preserve"> und dazu die</w:t>
      </w:r>
      <w:r w:rsidR="00342870">
        <w:t xml:space="preserve"> </w:t>
      </w:r>
      <w:r w:rsidRPr="00633590">
        <w:t xml:space="preserve">normierte Transmission </w:t>
      </w:r>
      <w:r w:rsidRPr="00DA20E6">
        <w:rPr>
          <w:i/>
        </w:rPr>
        <w:t>T</w:t>
      </w:r>
      <w:r w:rsidR="00342870">
        <w:t xml:space="preserve"> </w:t>
      </w:r>
      <w:r w:rsidRPr="00633590">
        <w:t>als Maß für das Zell-Wachstum sowie das Wachstum von Mikroorganismen in wässriger Lösung zur Schadstoffreduzierung von Abwässern dar:</w:t>
      </w:r>
    </w:p>
    <w:p w:rsidR="00492614" w:rsidRPr="00624B7F" w:rsidRDefault="00492614" w:rsidP="00492614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DA20E6">
        <w:rPr>
          <w:b/>
          <w:i/>
        </w:rPr>
        <w:t>E</w:t>
      </w:r>
      <w:r w:rsidRPr="00624B7F">
        <w:rPr>
          <w:b/>
        </w:rPr>
        <w:t xml:space="preserve"> =</w:t>
      </w:r>
      <w:r w:rsidR="00463311" w:rsidRPr="00624B7F">
        <w:rPr>
          <w:b/>
        </w:rPr>
        <w:t xml:space="preserve"> </w:t>
      </w:r>
      <w:r w:rsidR="0038303C">
        <w:rPr>
          <w:b/>
        </w:rPr>
        <w:t>-</w:t>
      </w:r>
      <w:r w:rsidRPr="00624B7F">
        <w:rPr>
          <w:b/>
        </w:rPr>
        <w:t xml:space="preserve"> ln (1/</w:t>
      </w:r>
      <w:r w:rsidRPr="00DA20E6">
        <w:rPr>
          <w:b/>
          <w:i/>
        </w:rPr>
        <w:t>T</w:t>
      </w:r>
      <w:r w:rsidRPr="00624B7F">
        <w:rPr>
          <w:b/>
        </w:rPr>
        <w:t xml:space="preserve">) mit </w:t>
      </w:r>
      <w:r w:rsidRPr="00DA20E6">
        <w:rPr>
          <w:b/>
          <w:i/>
        </w:rPr>
        <w:t>T</w:t>
      </w:r>
      <w:r w:rsidRPr="00624B7F">
        <w:rPr>
          <w:b/>
        </w:rPr>
        <w:t xml:space="preserve"> = </w:t>
      </w:r>
      <w:r w:rsidRPr="00DA20E6">
        <w:rPr>
          <w:b/>
          <w:i/>
        </w:rPr>
        <w:t>U</w:t>
      </w:r>
      <w:r w:rsidRPr="00624B7F">
        <w:rPr>
          <w:b/>
          <w:vertAlign w:val="subscript"/>
        </w:rPr>
        <w:t>mess</w:t>
      </w:r>
      <w:r w:rsidRPr="00624B7F">
        <w:rPr>
          <w:b/>
        </w:rPr>
        <w:t>/</w:t>
      </w:r>
      <w:r w:rsidRPr="00DA20E6">
        <w:rPr>
          <w:b/>
          <w:i/>
        </w:rPr>
        <w:t>U</w:t>
      </w:r>
      <w:r w:rsidRPr="00624B7F">
        <w:rPr>
          <w:b/>
          <w:vertAlign w:val="subscript"/>
        </w:rPr>
        <w:t>0</w:t>
      </w:r>
    </w:p>
    <w:p w:rsidR="008719B5" w:rsidRPr="00633590" w:rsidRDefault="00492614" w:rsidP="00633590">
      <w:pPr>
        <w:spacing w:after="120"/>
        <w:jc w:val="both"/>
      </w:pPr>
      <w:r w:rsidRPr="00633590">
        <w:t xml:space="preserve">Bei Fehlbedienung oder ungünstiger Prozessentwicklung eröffnet das Programm Dialoge zu dessen kontrollierter Berichtigung. Die Bedienoberfläche </w:t>
      </w:r>
      <w:r w:rsidR="00463311" w:rsidRPr="00633590">
        <w:t xml:space="preserve">in Bild 1 </w:t>
      </w:r>
      <w:r w:rsidRPr="00633590">
        <w:t>zeigt, dass Azubis</w:t>
      </w:r>
      <w:r w:rsidR="00342870">
        <w:t xml:space="preserve"> </w:t>
      </w:r>
      <w:r w:rsidRPr="00633590">
        <w:t>mittels</w:t>
      </w:r>
      <w:r w:rsidR="00342870">
        <w:t xml:space="preserve"> </w:t>
      </w:r>
      <w:r w:rsidRPr="00633590">
        <w:t xml:space="preserve">LabVIEW, entsprechender Lehr-Unterstützung und </w:t>
      </w:r>
      <w:r w:rsidR="00342870">
        <w:t>aufgrund</w:t>
      </w:r>
      <w:r w:rsidRPr="00633590">
        <w:t xml:space="preserve"> ihrer biotechnologischen Vorkenntnisse fähig sind, eine solche Applikation programmtechnisch umzusetzen. Gerade praxisnahe Simulationen erleichtern den Einstieg in die</w:t>
      </w:r>
      <w:r w:rsidR="00342870">
        <w:t xml:space="preserve"> </w:t>
      </w:r>
      <w:r w:rsidRPr="00633590">
        <w:t>Beherrschung komplexer Bioreaktoren, wie diese für zukünftige Studenten auf den Gebieten der Lebensmittel- und Umwelttechnologie unabdingbar sind.</w:t>
      </w:r>
    </w:p>
    <w:p w:rsidR="00480E65" w:rsidRPr="00633590" w:rsidRDefault="00480E65" w:rsidP="00542E1C">
      <w:pPr>
        <w:spacing w:after="80"/>
        <w:rPr>
          <w:b/>
          <w:lang w:val="en-GB"/>
        </w:rPr>
      </w:pPr>
      <w:r w:rsidRPr="00633590">
        <w:rPr>
          <w:b/>
          <w:lang w:val="en-GB"/>
        </w:rPr>
        <w:t>Abstract</w:t>
      </w:r>
    </w:p>
    <w:p w:rsidR="00F550B0" w:rsidRPr="00633590" w:rsidRDefault="00620B18" w:rsidP="00DA20E6">
      <w:pPr>
        <w:jc w:val="both"/>
        <w:rPr>
          <w:shd w:val="clear" w:color="auto" w:fill="FFFFFF"/>
          <w:lang w:val="en-US"/>
        </w:rPr>
      </w:pPr>
      <w:r w:rsidRPr="00633590">
        <w:rPr>
          <w:rStyle w:val="longtext"/>
          <w:shd w:val="clear" w:color="auto" w:fill="FFFFFF"/>
          <w:lang w:val="en-US"/>
        </w:rPr>
        <w:t xml:space="preserve">To increase the level of education regarding the transparency of logical structures of biotechnological processes on vocational training center for hospitality in </w:t>
      </w:r>
      <w:smartTag w:uri="urn:schemas-microsoft-com:office:smarttags" w:element="place">
        <w:smartTag w:uri="urn:schemas-microsoft-com:office:smarttags" w:element="City">
          <w:r w:rsidRPr="00633590">
            <w:rPr>
              <w:rStyle w:val="longtext"/>
              <w:shd w:val="clear" w:color="auto" w:fill="FFFFFF"/>
              <w:lang w:val="en-US"/>
            </w:rPr>
            <w:t>Dresden</w:t>
          </w:r>
        </w:smartTag>
      </w:smartTag>
      <w:r w:rsidRPr="00633590">
        <w:rPr>
          <w:rStyle w:val="longtext"/>
          <w:shd w:val="clear" w:color="auto" w:fill="FFFFFF"/>
          <w:lang w:val="en-US"/>
        </w:rPr>
        <w:t xml:space="preserve"> </w:t>
      </w:r>
      <w:r w:rsidR="00DA20E6" w:rsidRPr="00633590">
        <w:rPr>
          <w:rStyle w:val="longtext"/>
          <w:shd w:val="clear" w:color="auto" w:fill="FFFFFF"/>
          <w:lang w:val="en-US"/>
        </w:rPr>
        <w:t xml:space="preserve">LabVIEW </w:t>
      </w:r>
      <w:r w:rsidRPr="00633590">
        <w:rPr>
          <w:rStyle w:val="longtext"/>
          <w:shd w:val="clear" w:color="auto" w:fill="FFFFFF"/>
          <w:lang w:val="en-US"/>
        </w:rPr>
        <w:t>is</w:t>
      </w:r>
      <w:r w:rsidR="00DA20E6">
        <w:rPr>
          <w:rStyle w:val="longtext"/>
          <w:shd w:val="clear" w:color="auto" w:fill="FFFFFF"/>
          <w:lang w:val="en-US"/>
        </w:rPr>
        <w:t xml:space="preserve"> </w:t>
      </w:r>
      <w:r w:rsidRPr="00633590">
        <w:rPr>
          <w:rStyle w:val="longtext"/>
          <w:shd w:val="clear" w:color="auto" w:fill="FFFFFF"/>
          <w:lang w:val="en-US"/>
        </w:rPr>
        <w:t>the perfect teac</w:t>
      </w:r>
      <w:r w:rsidR="006E761D" w:rsidRPr="00633590">
        <w:rPr>
          <w:rStyle w:val="longtext"/>
          <w:shd w:val="clear" w:color="auto" w:fill="FFFFFF"/>
          <w:lang w:val="en-US"/>
        </w:rPr>
        <w:t xml:space="preserve">hing </w:t>
      </w:r>
      <w:r w:rsidR="00DA20E6">
        <w:rPr>
          <w:rStyle w:val="longtext"/>
          <w:shd w:val="clear" w:color="auto" w:fill="FFFFFF"/>
          <w:lang w:val="en-US"/>
        </w:rPr>
        <w:t xml:space="preserve">tool for the simulation of </w:t>
      </w:r>
      <w:r w:rsidR="006E761D" w:rsidRPr="00633590">
        <w:rPr>
          <w:rStyle w:val="longtext"/>
          <w:shd w:val="clear" w:color="auto" w:fill="FFFFFF"/>
          <w:lang w:val="en-US"/>
        </w:rPr>
        <w:t xml:space="preserve">to design-oriented </w:t>
      </w:r>
      <w:r w:rsidRPr="00633590">
        <w:rPr>
          <w:rStyle w:val="longtext"/>
          <w:shd w:val="clear" w:color="auto" w:fill="FFFFFF"/>
          <w:lang w:val="en-US"/>
        </w:rPr>
        <w:t>di</w:t>
      </w:r>
      <w:r w:rsidR="006E761D" w:rsidRPr="00633590">
        <w:rPr>
          <w:rStyle w:val="longtext"/>
          <w:shd w:val="clear" w:color="auto" w:fill="FFFFFF"/>
          <w:lang w:val="en-US"/>
        </w:rPr>
        <w:t>alogue bioreactor</w:t>
      </w:r>
      <w:r w:rsidRPr="00633590">
        <w:rPr>
          <w:rStyle w:val="longtext"/>
          <w:shd w:val="clear" w:color="auto" w:fill="FFFFFF"/>
          <w:lang w:val="en-US"/>
        </w:rPr>
        <w:t xml:space="preserve">. </w:t>
      </w:r>
      <w:r w:rsidR="00DA20E6">
        <w:rPr>
          <w:rStyle w:val="longtext"/>
          <w:shd w:val="clear" w:color="auto" w:fill="FFFFFF"/>
          <w:lang w:val="en-US"/>
        </w:rPr>
        <w:t xml:space="preserve">This allows </w:t>
      </w:r>
      <w:r w:rsidR="00BF378E" w:rsidRPr="00633590">
        <w:rPr>
          <w:rStyle w:val="longtext"/>
          <w:shd w:val="clear" w:color="auto" w:fill="FFFFFF"/>
          <w:lang w:val="en-US"/>
        </w:rPr>
        <w:t xml:space="preserve">the prospective high school </w:t>
      </w:r>
      <w:r w:rsidRPr="00633590">
        <w:rPr>
          <w:rStyle w:val="longtext"/>
          <w:shd w:val="clear" w:color="auto" w:fill="FFFFFF"/>
          <w:lang w:val="en-US"/>
        </w:rPr>
        <w:t xml:space="preserve">graduates </w:t>
      </w:r>
      <w:r w:rsidR="00DA20E6">
        <w:rPr>
          <w:rStyle w:val="longtext"/>
          <w:shd w:val="clear" w:color="auto" w:fill="FFFFFF"/>
          <w:lang w:val="en-US"/>
        </w:rPr>
        <w:t xml:space="preserve">to better </w:t>
      </w:r>
      <w:r w:rsidRPr="00633590">
        <w:rPr>
          <w:rStyle w:val="longtext"/>
          <w:shd w:val="clear" w:color="auto" w:fill="FFFFFF"/>
          <w:lang w:val="en-US"/>
        </w:rPr>
        <w:t>cope</w:t>
      </w:r>
      <w:r w:rsidR="00B20647">
        <w:rPr>
          <w:rStyle w:val="longtext"/>
          <w:shd w:val="clear" w:color="auto" w:fill="FFFFFF"/>
          <w:lang w:val="en-US"/>
        </w:rPr>
        <w:t xml:space="preserve"> with their extensive knowledge </w:t>
      </w:r>
      <w:r w:rsidR="00DA20E6">
        <w:rPr>
          <w:rStyle w:val="longtext"/>
          <w:shd w:val="clear" w:color="auto" w:fill="FFFFFF"/>
          <w:lang w:val="en-US"/>
        </w:rPr>
        <w:t xml:space="preserve">in </w:t>
      </w:r>
      <w:r w:rsidRPr="00633590">
        <w:rPr>
          <w:rStyle w:val="longtext"/>
          <w:shd w:val="clear" w:color="auto" w:fill="FFFFFF"/>
          <w:lang w:val="en-US"/>
        </w:rPr>
        <w:t>biotec</w:t>
      </w:r>
      <w:r w:rsidR="00B20647">
        <w:rPr>
          <w:rStyle w:val="longtext"/>
          <w:shd w:val="clear" w:color="auto" w:fill="FFFFFF"/>
          <w:lang w:val="en-US"/>
        </w:rPr>
        <w:t xml:space="preserve">hnological tasks to protect the </w:t>
      </w:r>
      <w:r w:rsidRPr="00633590">
        <w:rPr>
          <w:rStyle w:val="longtext"/>
          <w:shd w:val="clear" w:color="auto" w:fill="FFFFFF"/>
          <w:lang w:val="en-US"/>
        </w:rPr>
        <w:t>environment.</w:t>
      </w:r>
      <w:r w:rsidR="000919D7">
        <w:rPr>
          <w:shd w:val="clear" w:color="auto" w:fill="FFFFFF"/>
          <w:lang w:val="en-US"/>
        </w:rPr>
        <w:t xml:space="preserve"> </w:t>
      </w:r>
      <w:r w:rsidRPr="00633590">
        <w:rPr>
          <w:rStyle w:val="longtext"/>
          <w:shd w:val="clear" w:color="auto" w:fill="FFFFFF"/>
          <w:lang w:val="en-US"/>
        </w:rPr>
        <w:t xml:space="preserve">The simulation is </w:t>
      </w:r>
      <w:r w:rsidR="00DA20E6">
        <w:rPr>
          <w:rStyle w:val="longtext"/>
          <w:shd w:val="clear" w:color="auto" w:fill="FFFFFF"/>
          <w:lang w:val="en-US"/>
        </w:rPr>
        <w:t xml:space="preserve">based on </w:t>
      </w:r>
      <w:r w:rsidRPr="00633590">
        <w:rPr>
          <w:rStyle w:val="longtext"/>
          <w:shd w:val="clear" w:color="auto" w:fill="FFFFFF"/>
          <w:lang w:val="en-US"/>
        </w:rPr>
        <w:t>a virtual platform for measurement and control tanks, pumps, mixers, heaters, valves, etc. as a function of the process-oriented dialogue state machine.</w:t>
      </w:r>
      <w:r w:rsidR="00BF378E" w:rsidRPr="00633590">
        <w:rPr>
          <w:rStyle w:val="longtext"/>
          <w:shd w:val="clear" w:color="auto" w:fill="FFFFFF"/>
          <w:lang w:val="en-US"/>
        </w:rPr>
        <w:t xml:space="preserve"> </w:t>
      </w:r>
      <w:r w:rsidRPr="00633590">
        <w:rPr>
          <w:rStyle w:val="longtext"/>
          <w:shd w:val="clear" w:color="auto" w:fill="FFFFFF"/>
          <w:lang w:val="en-US"/>
        </w:rPr>
        <w:t>Optionally, the temperature-dependent relationship of oxygen solubility in water and the extinction</w:t>
      </w:r>
      <w:r w:rsidR="00DA20E6">
        <w:rPr>
          <w:rStyle w:val="longtext"/>
          <w:shd w:val="clear" w:color="auto" w:fill="FFFFFF"/>
          <w:lang w:val="en-US"/>
        </w:rPr>
        <w:t xml:space="preserve"> </w:t>
      </w:r>
      <w:r w:rsidRPr="00633590">
        <w:rPr>
          <w:rStyle w:val="longtext"/>
          <w:shd w:val="clear" w:color="auto" w:fill="FFFFFF"/>
          <w:lang w:val="en-US"/>
        </w:rPr>
        <w:t>with respect to their transmission</w:t>
      </w:r>
      <w:r w:rsidR="00DA20E6">
        <w:rPr>
          <w:rStyle w:val="longtext"/>
          <w:shd w:val="clear" w:color="auto" w:fill="FFFFFF"/>
          <w:lang w:val="en-US"/>
        </w:rPr>
        <w:t xml:space="preserve"> are </w:t>
      </w:r>
      <w:r w:rsidR="00DA20E6" w:rsidRPr="00633590">
        <w:rPr>
          <w:rStyle w:val="longtext"/>
          <w:shd w:val="clear" w:color="auto" w:fill="FFFFFF"/>
          <w:lang w:val="en-US"/>
        </w:rPr>
        <w:t>calculated</w:t>
      </w:r>
      <w:r w:rsidRPr="00633590">
        <w:rPr>
          <w:rStyle w:val="longtext"/>
          <w:shd w:val="clear" w:color="auto" w:fill="FFFFFF"/>
          <w:lang w:val="en-US"/>
        </w:rPr>
        <w:t xml:space="preserve"> and visualized </w:t>
      </w:r>
      <w:r w:rsidR="00DA20E6">
        <w:rPr>
          <w:rStyle w:val="longtext"/>
          <w:shd w:val="clear" w:color="auto" w:fill="FFFFFF"/>
          <w:lang w:val="en-US"/>
        </w:rPr>
        <w:t xml:space="preserve">using </w:t>
      </w:r>
      <w:r w:rsidRPr="00633590">
        <w:rPr>
          <w:rStyle w:val="longtext"/>
          <w:shd w:val="clear" w:color="auto" w:fill="FFFFFF"/>
          <w:lang w:val="en-US"/>
        </w:rPr>
        <w:t>LabVIEW on the same monitor</w:t>
      </w:r>
      <w:r w:rsidR="00EC0B1D">
        <w:rPr>
          <w:rStyle w:val="longtext"/>
          <w:shd w:val="clear" w:color="auto" w:fill="FFFFFF"/>
          <w:lang w:val="en-US"/>
        </w:rPr>
        <w:t xml:space="preserve"> [1]</w:t>
      </w:r>
      <w:r w:rsidRPr="00633590">
        <w:rPr>
          <w:rStyle w:val="longtext"/>
          <w:shd w:val="clear" w:color="auto" w:fill="FFFFFF"/>
          <w:lang w:val="en-US"/>
        </w:rPr>
        <w:t xml:space="preserve">. </w:t>
      </w:r>
    </w:p>
    <w:p w:rsidR="00E92028" w:rsidRDefault="00E92028" w:rsidP="002E0EB2">
      <w:pPr>
        <w:widowControl w:val="0"/>
        <w:spacing w:after="80"/>
        <w:rPr>
          <w:b/>
          <w:lang w:val="en-US"/>
        </w:rPr>
      </w:pPr>
    </w:p>
    <w:p w:rsidR="00E47434" w:rsidRDefault="00480E65" w:rsidP="00E47434">
      <w:pPr>
        <w:spacing w:after="80"/>
        <w:rPr>
          <w:b/>
        </w:rPr>
      </w:pPr>
      <w:r w:rsidRPr="00E92028">
        <w:rPr>
          <w:b/>
        </w:rPr>
        <w:t>Einleitung</w:t>
      </w:r>
    </w:p>
    <w:p w:rsidR="00931367" w:rsidRPr="00E47434" w:rsidRDefault="00E47434" w:rsidP="006B57EE">
      <w:pPr>
        <w:jc w:val="both"/>
        <w:rPr>
          <w:b/>
        </w:rPr>
      </w:pPr>
      <w:r>
        <w:t xml:space="preserve">Im Berufsschulzentrum für Gastgewerbe Dresden kommt es bei </w:t>
      </w:r>
      <w:r w:rsidR="00472C6F">
        <w:t>der Ausbildung von Gymnasiasten</w:t>
      </w:r>
      <w:r>
        <w:t xml:space="preserve"> insbesondere auf biotechnologischem Gebiet darauf an, das Wissen zu Prozessen, Anlagen und deren Mess- und Steuerungstechnik schnell und didaktisch aufbereitet zu vermitteln. Um sich auf die </w:t>
      </w:r>
      <w:r w:rsidR="00B25FBF">
        <w:t xml:space="preserve">sichere </w:t>
      </w:r>
      <w:r>
        <w:t xml:space="preserve">Bedienung hochwertiger Prozessanlagen </w:t>
      </w:r>
      <w:r w:rsidR="00B25FBF">
        <w:t>vorzubereiten, werden im Informatikraum die entsprechenden Handlungsschritte mittels der virtuellen Bedienoberfl</w:t>
      </w:r>
      <w:r w:rsidR="00DA7D34">
        <w:t>äche eines</w:t>
      </w:r>
      <w:r w:rsidR="00B25FBF">
        <w:t xml:space="preserve"> „Dialogorientierten Bioreaktor-Simulation“ trainiert. </w:t>
      </w:r>
    </w:p>
    <w:p w:rsidR="00E92028" w:rsidRDefault="007E4E91" w:rsidP="006B57EE">
      <w:pPr>
        <w:jc w:val="both"/>
      </w:pPr>
      <w:r>
        <w:t xml:space="preserve">Das spart </w:t>
      </w:r>
      <w:r w:rsidR="00DA7D34">
        <w:t>nicht nur Kosten und laborativen Anlage-Aufwand</w:t>
      </w:r>
      <w:r w:rsidR="00342870">
        <w:t>,</w:t>
      </w:r>
      <w:r w:rsidR="00DA7D34">
        <w:t xml:space="preserve"> sondern</w:t>
      </w:r>
      <w:r>
        <w:t xml:space="preserve"> </w:t>
      </w:r>
      <w:r w:rsidR="00DA7D34">
        <w:t xml:space="preserve">nach </w:t>
      </w:r>
      <w:r w:rsidR="007E417E">
        <w:t>entsprechend</w:t>
      </w:r>
      <w:r w:rsidR="00DA7D34">
        <w:t>er</w:t>
      </w:r>
      <w:r w:rsidR="007E417E">
        <w:t xml:space="preserve"> </w:t>
      </w:r>
      <w:r>
        <w:t>PC-Plätze</w:t>
      </w:r>
      <w:r w:rsidR="00DA7D34">
        <w:t>-Anzahl</w:t>
      </w:r>
      <w:r>
        <w:t xml:space="preserve"> </w:t>
      </w:r>
      <w:r w:rsidR="007E417E">
        <w:t xml:space="preserve">können </w:t>
      </w:r>
      <w:r w:rsidR="00DA7D34">
        <w:t xml:space="preserve">sich </w:t>
      </w:r>
      <w:r w:rsidR="007E417E">
        <w:t xml:space="preserve">die Teilnehmer </w:t>
      </w:r>
      <w:r>
        <w:t xml:space="preserve">im Mensch-Maschine-Dialog </w:t>
      </w:r>
      <w:r w:rsidR="00DA7D34">
        <w:t>das</w:t>
      </w:r>
      <w:r>
        <w:t xml:space="preserve"> Wissen </w:t>
      </w:r>
      <w:r w:rsidR="007E417E">
        <w:t xml:space="preserve">zur Bedienung eines Bioreaktors </w:t>
      </w:r>
      <w:r w:rsidR="00342870">
        <w:t>selbstständig</w:t>
      </w:r>
      <w:r w:rsidR="007E417E">
        <w:t xml:space="preserve"> </w:t>
      </w:r>
      <w:r w:rsidR="00DA7D34">
        <w:t>aneignen</w:t>
      </w:r>
      <w:r w:rsidR="007E417E">
        <w:t xml:space="preserve"> und </w:t>
      </w:r>
      <w:r>
        <w:t>testen.</w:t>
      </w:r>
    </w:p>
    <w:p w:rsidR="007E417E" w:rsidRDefault="006B57EE" w:rsidP="006B57EE">
      <w:pPr>
        <w:jc w:val="both"/>
      </w:pPr>
      <w:r>
        <w:lastRenderedPageBreak/>
        <w:t>Darauf aufbauend</w:t>
      </w:r>
      <w:r w:rsidR="00342870">
        <w:t>,</w:t>
      </w:r>
      <w:r w:rsidR="00DA7D34">
        <w:t xml:space="preserve"> wird</w:t>
      </w:r>
      <w:r w:rsidR="00342870">
        <w:t xml:space="preserve"> </w:t>
      </w:r>
      <w:r w:rsidR="007E417E">
        <w:t xml:space="preserve">auf </w:t>
      </w:r>
      <w:r w:rsidR="00472C6F">
        <w:t>die Projektierung eines Prozess-R</w:t>
      </w:r>
      <w:r w:rsidR="007E417E">
        <w:t xml:space="preserve">eaktors </w:t>
      </w:r>
      <w:r w:rsidR="00DA7D34">
        <w:t>B</w:t>
      </w:r>
      <w:r w:rsidR="007E417E">
        <w:t>ezug genomme</w:t>
      </w:r>
      <w:r w:rsidR="00DA7D34">
        <w:t xml:space="preserve">n, den die Azubis </w:t>
      </w:r>
      <w:r>
        <w:t>in Form einer</w:t>
      </w:r>
      <w:r w:rsidR="00DA7D34">
        <w:t xml:space="preserve"> State Machine </w:t>
      </w:r>
      <w:r>
        <w:t xml:space="preserve">mittels </w:t>
      </w:r>
      <w:r w:rsidRPr="00DB3668">
        <w:rPr>
          <w:b/>
          <w:i/>
        </w:rPr>
        <w:t>myDAQ und</w:t>
      </w:r>
      <w:r w:rsidR="00342870">
        <w:rPr>
          <w:b/>
          <w:i/>
        </w:rPr>
        <w:t xml:space="preserve"> </w:t>
      </w:r>
      <w:r w:rsidR="00DA7D34" w:rsidRPr="00DB3668">
        <w:rPr>
          <w:b/>
          <w:i/>
        </w:rPr>
        <w:t>LabVIEW</w:t>
      </w:r>
      <w:r w:rsidR="00DA7D34">
        <w:t xml:space="preserve"> </w:t>
      </w:r>
      <w:r>
        <w:t xml:space="preserve">eigenständig und </w:t>
      </w:r>
      <w:r w:rsidR="00DA7D34">
        <w:t>automatisierungstechnisch zu beherrschen lernen.</w:t>
      </w:r>
    </w:p>
    <w:p w:rsidR="007E417E" w:rsidRDefault="00261912" w:rsidP="006B57EE">
      <w:pPr>
        <w:jc w:val="both"/>
      </w:pPr>
      <w:r>
        <w:t>In Folge der zukunftsweisenden</w:t>
      </w:r>
      <w:r w:rsidR="00F157D2">
        <w:t xml:space="preserve"> Lehrproblematik</w:t>
      </w:r>
      <w:r w:rsidR="008C52E0">
        <w:t xml:space="preserve"> nehmen die Schüler an einem</w:t>
      </w:r>
      <w:r w:rsidR="004C1F17">
        <w:t xml:space="preserve"> Kurs</w:t>
      </w:r>
      <w:r w:rsidR="008C52E0">
        <w:t xml:space="preserve"> der National Instruments Academic</w:t>
      </w:r>
      <w:r>
        <w:t>-Group</w:t>
      </w:r>
      <w:r w:rsidR="008C52E0">
        <w:t xml:space="preserve"> teil und </w:t>
      </w:r>
      <w:r w:rsidR="004C1F17">
        <w:t>erwerben</w:t>
      </w:r>
      <w:r w:rsidR="008C52E0">
        <w:t xml:space="preserve"> das</w:t>
      </w:r>
      <w:r w:rsidR="00342870">
        <w:t xml:space="preserve"> LabVIEW Core I-</w:t>
      </w:r>
      <w:r w:rsidR="004C1F17">
        <w:t>Zertifikat</w:t>
      </w:r>
      <w:r w:rsidR="008C52E0">
        <w:t>.</w:t>
      </w:r>
    </w:p>
    <w:p w:rsidR="00E92028" w:rsidRDefault="00E92028" w:rsidP="007E4E91">
      <w:pPr>
        <w:jc w:val="both"/>
      </w:pPr>
    </w:p>
    <w:p w:rsidR="00B90011" w:rsidRPr="00B90011" w:rsidRDefault="00C21FF9" w:rsidP="00B90011">
      <w:pPr>
        <w:spacing w:after="120"/>
        <w:jc w:val="both"/>
        <w:rPr>
          <w:b/>
        </w:rPr>
      </w:pPr>
      <w:r>
        <w:rPr>
          <w:b/>
        </w:rPr>
        <w:t>Dialogorientierte Bioreaktor-Simulation</w:t>
      </w:r>
    </w:p>
    <w:p w:rsidR="00B90011" w:rsidRDefault="004359FA" w:rsidP="004359FA">
      <w:pPr>
        <w:spacing w:after="60"/>
        <w:jc w:val="both"/>
      </w:pPr>
      <w:r>
        <w:t>Die</w:t>
      </w:r>
      <w:r w:rsidR="00B90011">
        <w:t xml:space="preserve"> Biotechnologie-Beherrschung</w:t>
      </w:r>
      <w:r>
        <w:t xml:space="preserve"> stellt </w:t>
      </w:r>
      <w:r w:rsidR="00B90011">
        <w:t>besonders hohe Anforderu</w:t>
      </w:r>
      <w:r>
        <w:t>ngen sowohl an</w:t>
      </w:r>
      <w:r w:rsidR="00342870">
        <w:t xml:space="preserve"> </w:t>
      </w:r>
      <w:r>
        <w:t>Ausbilder als auch die</w:t>
      </w:r>
      <w:r w:rsidR="00342870">
        <w:t xml:space="preserve"> </w:t>
      </w:r>
      <w:r>
        <w:t>Auszubildenden</w:t>
      </w:r>
      <w:r w:rsidR="00342870">
        <w:t>,</w:t>
      </w:r>
      <w:r>
        <w:t xml:space="preserve"> </w:t>
      </w:r>
      <w:r w:rsidR="00342870">
        <w:t>wie</w:t>
      </w:r>
    </w:p>
    <w:p w:rsidR="00B90011" w:rsidRDefault="00E5182E" w:rsidP="00342870">
      <w:pPr>
        <w:numPr>
          <w:ilvl w:val="0"/>
          <w:numId w:val="4"/>
        </w:numPr>
        <w:jc w:val="both"/>
      </w:pPr>
      <w:r>
        <w:t>s</w:t>
      </w:r>
      <w:r w:rsidR="00B90011">
        <w:t>ichere Überwachung und Bedienung</w:t>
      </w:r>
      <w:r w:rsidR="00342870">
        <w:t>,</w:t>
      </w:r>
    </w:p>
    <w:p w:rsidR="00B90011" w:rsidRDefault="004359FA" w:rsidP="00342870">
      <w:pPr>
        <w:numPr>
          <w:ilvl w:val="0"/>
          <w:numId w:val="4"/>
        </w:numPr>
        <w:jc w:val="both"/>
      </w:pPr>
      <w:r>
        <w:t>Langzeitautomatisierung</w:t>
      </w:r>
      <w:r w:rsidR="00342870">
        <w:t>,</w:t>
      </w:r>
    </w:p>
    <w:p w:rsidR="00B90011" w:rsidRDefault="00B90011" w:rsidP="00342870">
      <w:pPr>
        <w:numPr>
          <w:ilvl w:val="0"/>
          <w:numId w:val="4"/>
        </w:numPr>
        <w:spacing w:after="60"/>
        <w:jc w:val="both"/>
      </w:pPr>
      <w:r>
        <w:t>Prozess</w:t>
      </w:r>
      <w:r w:rsidR="00A95FA2">
        <w:t xml:space="preserve">visualisierung und </w:t>
      </w:r>
      <w:r w:rsidR="00342870">
        <w:t>-</w:t>
      </w:r>
      <w:r>
        <w:t>dokumentation</w:t>
      </w:r>
      <w:r w:rsidR="00342870">
        <w:t>.</w:t>
      </w:r>
    </w:p>
    <w:p w:rsidR="00E92028" w:rsidRDefault="00827C09" w:rsidP="00D34B41">
      <w:pPr>
        <w:spacing w:after="12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728980</wp:posOffset>
            </wp:positionV>
            <wp:extent cx="5920105" cy="4208780"/>
            <wp:effectExtent l="19050" t="19050" r="23495" b="20320"/>
            <wp:wrapTopAndBottom/>
            <wp:docPr id="148" name="Bild 148" descr="DoBioS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oBioSi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42087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359FA">
        <w:t>Bild 1</w:t>
      </w:r>
      <w:r w:rsidR="000E26C1">
        <w:t xml:space="preserve"> zeigt das Frontpanel </w:t>
      </w:r>
      <w:r w:rsidR="004359FA">
        <w:t>des</w:t>
      </w:r>
      <w:r w:rsidR="008E0E7A">
        <w:t xml:space="preserve"> unter</w:t>
      </w:r>
      <w:r w:rsidR="00342870">
        <w:t xml:space="preserve"> LabVIEW </w:t>
      </w:r>
      <w:r w:rsidR="004359FA">
        <w:t xml:space="preserve">generierten </w:t>
      </w:r>
      <w:r w:rsidR="004359FA" w:rsidRPr="004359FA">
        <w:rPr>
          <w:i/>
        </w:rPr>
        <w:t>Dobiosi.vi</w:t>
      </w:r>
      <w:r w:rsidR="000E26C1">
        <w:t xml:space="preserve">, worüber </w:t>
      </w:r>
      <w:r w:rsidR="00B90011">
        <w:t>Pumpen, Rührer, Heizung, Ventile etc. ein-, ausgeschaltet bzw. prozess</w:t>
      </w:r>
      <w:r w:rsidR="000E26C1">
        <w:t>abhängig gesteuert werden</w:t>
      </w:r>
      <w:r w:rsidR="00B90011">
        <w:t>.</w:t>
      </w:r>
    </w:p>
    <w:p w:rsidR="00624B7F" w:rsidRDefault="00624B7F" w:rsidP="00624B7F">
      <w:pPr>
        <w:jc w:val="both"/>
      </w:pPr>
    </w:p>
    <w:p w:rsidR="00624B7F" w:rsidRPr="00342870" w:rsidRDefault="00C21FF9" w:rsidP="00342870">
      <w:pPr>
        <w:spacing w:before="120"/>
        <w:jc w:val="center"/>
        <w:rPr>
          <w:i/>
        </w:rPr>
      </w:pPr>
      <w:r w:rsidRPr="00342870">
        <w:rPr>
          <w:i/>
        </w:rPr>
        <w:t xml:space="preserve">Bild 1: Frontpanel </w:t>
      </w:r>
      <w:r w:rsidR="00F36EBC" w:rsidRPr="00342870">
        <w:rPr>
          <w:i/>
        </w:rPr>
        <w:t xml:space="preserve">des </w:t>
      </w:r>
      <w:r w:rsidRPr="00342870">
        <w:rPr>
          <w:i/>
        </w:rPr>
        <w:t>Dobiosi.vi</w:t>
      </w:r>
    </w:p>
    <w:p w:rsidR="00EB5B92" w:rsidRDefault="00EB5B92" w:rsidP="009E41ED">
      <w:pPr>
        <w:jc w:val="both"/>
      </w:pPr>
    </w:p>
    <w:p w:rsidR="00BB51CF" w:rsidRDefault="00BB51CF" w:rsidP="009E41ED">
      <w:pPr>
        <w:jc w:val="both"/>
      </w:pPr>
      <w:r>
        <w:t>Nach dem Start der Simulation besteht die Auswahl der Kennliniendarstellung hinsichtlich Temperaturverlauf</w:t>
      </w:r>
      <w:r w:rsidR="00342870">
        <w:t xml:space="preserve"> </w:t>
      </w:r>
      <w:r w:rsidR="00884F6F">
        <w:t>oder</w:t>
      </w:r>
      <w:r>
        <w:t xml:space="preserve"> der Extinktion als Maß für das Wachstum der Bioorganismen.</w:t>
      </w:r>
    </w:p>
    <w:p w:rsidR="00B837F5" w:rsidRDefault="00BB51CF" w:rsidP="009E41ED">
      <w:pPr>
        <w:jc w:val="both"/>
      </w:pPr>
      <w:r>
        <w:t>Gleichzeitig erfolgt an den Bediener dialogorientiert die textliche Aufforderung</w:t>
      </w:r>
      <w:r w:rsidR="00342870">
        <w:t xml:space="preserve">, </w:t>
      </w:r>
      <w:r>
        <w:t xml:space="preserve">alle Behälter über die </w:t>
      </w:r>
      <w:r w:rsidR="00342870">
        <w:t>entsprechenden Tasten zu b</w:t>
      </w:r>
      <w:r>
        <w:t>efüllen. Erst dann lassen sich Heiz-, Dosier und Messvorgänge starten.</w:t>
      </w:r>
      <w:r w:rsidR="00574555">
        <w:t xml:space="preserve"> Für die Heizvorgänge ist</w:t>
      </w:r>
      <w:r w:rsidR="00B837F5">
        <w:t xml:space="preserve"> zusätzlich</w:t>
      </w:r>
      <w:r w:rsidR="00574555">
        <w:t xml:space="preserve"> die Solltemperatur vorzugeben</w:t>
      </w:r>
      <w:r w:rsidR="00B837F5">
        <w:t>, um</w:t>
      </w:r>
      <w:r w:rsidR="00574555">
        <w:t xml:space="preserve"> </w:t>
      </w:r>
      <w:r w:rsidR="00B837F5">
        <w:t>den Heizbetrieb des</w:t>
      </w:r>
      <w:r w:rsidR="00574555">
        <w:t xml:space="preserve"> Heizstab</w:t>
      </w:r>
      <w:r w:rsidR="00884F6F">
        <w:t>s im Reaktorbehälter und</w:t>
      </w:r>
      <w:r w:rsidR="00B837F5">
        <w:t xml:space="preserve"> der</w:t>
      </w:r>
      <w:r w:rsidR="00574555">
        <w:t xml:space="preserve"> Heizplatte des Heizbehälters</w:t>
      </w:r>
      <w:r w:rsidR="00342870">
        <w:t xml:space="preserve"> </w:t>
      </w:r>
      <w:r w:rsidR="00B837F5">
        <w:t>aktivieren zu können.</w:t>
      </w:r>
    </w:p>
    <w:p w:rsidR="000C05F2" w:rsidRDefault="000C05F2" w:rsidP="009E41ED">
      <w:pPr>
        <w:jc w:val="both"/>
      </w:pPr>
      <w:r>
        <w:lastRenderedPageBreak/>
        <w:t xml:space="preserve">Mittels der </w:t>
      </w:r>
      <w:r w:rsidR="00884F6F">
        <w:t xml:space="preserve">Tasten </w:t>
      </w:r>
      <w:r w:rsidR="00884F6F" w:rsidRPr="00884F6F">
        <w:rPr>
          <w:i/>
        </w:rPr>
        <w:t>NaOH</w:t>
      </w:r>
      <w:r w:rsidR="00884F6F">
        <w:t xml:space="preserve"> bzw. </w:t>
      </w:r>
      <w:r w:rsidR="00884F6F" w:rsidRPr="00884F6F">
        <w:rPr>
          <w:i/>
        </w:rPr>
        <w:t>HCL</w:t>
      </w:r>
      <w:r w:rsidR="00884F6F">
        <w:t xml:space="preserve"> wird die </w:t>
      </w:r>
      <w:r>
        <w:t>Dosierung</w:t>
      </w:r>
      <w:r w:rsidR="00884F6F">
        <w:t xml:space="preserve"> in Bezug auf den</w:t>
      </w:r>
      <w:r>
        <w:t xml:space="preserve"> pH-Wer</w:t>
      </w:r>
      <w:r w:rsidR="00884F6F">
        <w:t xml:space="preserve">t im Reaktorbehälter vorgenommen und bei Überschreitung einzustellender Grenzwerte die Textwarnungen </w:t>
      </w:r>
      <w:r w:rsidR="00884F6F" w:rsidRPr="00F36EBC">
        <w:rPr>
          <w:i/>
        </w:rPr>
        <w:t>„Achtung – pH-Wert außer Bereich“</w:t>
      </w:r>
      <w:r w:rsidR="00884F6F">
        <w:t xml:space="preserve"> angezeigt.</w:t>
      </w:r>
    </w:p>
    <w:p w:rsidR="00774DFF" w:rsidRDefault="00774DFF" w:rsidP="009E41ED">
      <w:pPr>
        <w:jc w:val="both"/>
        <w:rPr>
          <w:b/>
        </w:rPr>
      </w:pPr>
    </w:p>
    <w:p w:rsidR="00774DFF" w:rsidRPr="00774DFF" w:rsidRDefault="00774DFF" w:rsidP="00774DFF">
      <w:pPr>
        <w:spacing w:after="120"/>
        <w:jc w:val="both"/>
        <w:rPr>
          <w:b/>
        </w:rPr>
      </w:pPr>
      <w:r>
        <w:rPr>
          <w:b/>
        </w:rPr>
        <w:t>Prozess-Reaktor-Betrieb</w:t>
      </w:r>
    </w:p>
    <w:p w:rsidR="000C05F2" w:rsidRPr="00774DFF" w:rsidRDefault="00342870" w:rsidP="009E41ED">
      <w:pPr>
        <w:jc w:val="both"/>
      </w:pPr>
      <w:r>
        <w:t>Das LabVIEW-</w:t>
      </w:r>
      <w:r w:rsidR="00774DFF">
        <w:t xml:space="preserve">generierte </w:t>
      </w:r>
      <w:r w:rsidR="00774DFF" w:rsidRPr="004359FA">
        <w:rPr>
          <w:i/>
        </w:rPr>
        <w:t>Dobiosi.vi</w:t>
      </w:r>
      <w:r>
        <w:rPr>
          <w:i/>
        </w:rPr>
        <w:t xml:space="preserve"> </w:t>
      </w:r>
      <w:r w:rsidR="00774DFF" w:rsidRPr="00774DFF">
        <w:t>is</w:t>
      </w:r>
      <w:r w:rsidR="00774DFF">
        <w:t>t</w:t>
      </w:r>
      <w:r w:rsidR="00774DFF" w:rsidRPr="00774DFF">
        <w:t xml:space="preserve"> in der Lage</w:t>
      </w:r>
      <w:r w:rsidR="00774DFF">
        <w:t>, eine</w:t>
      </w:r>
      <w:r w:rsidR="00F25C82">
        <w:t>n</w:t>
      </w:r>
      <w:r w:rsidR="00774DFF">
        <w:t xml:space="preserve"> reale</w:t>
      </w:r>
      <w:r w:rsidR="00F25C82">
        <w:t>n Prozess-Reaktor</w:t>
      </w:r>
      <w:r w:rsidR="00774DFF">
        <w:t xml:space="preserve"> mittels der Hardwarekomponente myDAQ </w:t>
      </w:r>
      <w:r w:rsidR="00F25C82">
        <w:t xml:space="preserve">von National Instruments </w:t>
      </w:r>
      <w:r w:rsidR="00774DFF">
        <w:t>zu steuern</w:t>
      </w:r>
      <w:r w:rsidR="00F25C82">
        <w:t>. D</w:t>
      </w:r>
      <w:r w:rsidR="009A7081">
        <w:t>abei ist d</w:t>
      </w:r>
      <w:r w:rsidR="00F25C82">
        <w:t>er Prozess-Reaktor in Bild 2 ein Produkt der Lehrwerkstatt der TU Dresden und wurde bereits für die LabVIEW-Wissensvermittlung am BSZ Gastgewerbe Dresden eingesetzt</w:t>
      </w:r>
      <w:r w:rsidR="003E3D7A">
        <w:t xml:space="preserve"> [2]</w:t>
      </w:r>
      <w:r w:rsidR="00F25C82">
        <w:t>.</w:t>
      </w:r>
    </w:p>
    <w:p w:rsidR="001A2F6A" w:rsidRDefault="001A2F6A" w:rsidP="009E41ED">
      <w:pPr>
        <w:jc w:val="both"/>
      </w:pPr>
    </w:p>
    <w:p w:rsidR="001A2F6A" w:rsidRDefault="00827C09" w:rsidP="009E41ED">
      <w:pPr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3669030" cy="3587115"/>
            <wp:effectExtent l="19050" t="19050" r="26670" b="13335"/>
            <wp:wrapTopAndBottom/>
            <wp:docPr id="149" name="Bild 149" descr="TU-Prozess-Reak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TU-Prozess-Reakto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35871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A2F6A" w:rsidRPr="000337FF" w:rsidRDefault="00F25C82" w:rsidP="00624B7F">
      <w:pPr>
        <w:spacing w:before="120"/>
        <w:rPr>
          <w:i/>
        </w:rPr>
      </w:pPr>
      <w:r w:rsidRPr="000337FF">
        <w:rPr>
          <w:i/>
        </w:rPr>
        <w:t>Bild 2: Prozess-Reaktor</w:t>
      </w:r>
    </w:p>
    <w:p w:rsidR="006F2FC8" w:rsidRDefault="006F2FC8" w:rsidP="000C0087">
      <w:pPr>
        <w:jc w:val="center"/>
      </w:pPr>
    </w:p>
    <w:p w:rsidR="006F2FC8" w:rsidRDefault="006F2FC8" w:rsidP="006F2FC8">
      <w:pPr>
        <w:jc w:val="both"/>
      </w:pPr>
      <w:r>
        <w:t xml:space="preserve">In momentaner Betriebsweise wird der Reaktor über die Siemens-Logo betrieben, die durch das myDAQ von NI (Bild 3) zu ersetzen ist. Gemeinsam mit den TU-Lehrlingen und den BSZ-Gymnasiasten erfolgen Projektierung und die LabVIEW-Programmierung unter Einbeziehung des </w:t>
      </w:r>
      <w:r>
        <w:rPr>
          <w:i/>
        </w:rPr>
        <w:t xml:space="preserve">Dobiosi.vi, </w:t>
      </w:r>
      <w:r w:rsidRPr="00354E2C">
        <w:t xml:space="preserve">wobei </w:t>
      </w:r>
      <w:r>
        <w:t>es</w:t>
      </w:r>
      <w:r w:rsidRPr="00354E2C">
        <w:t xml:space="preserve"> dann</w:t>
      </w:r>
      <w:r>
        <w:t xml:space="preserve"> reale Bioprozesse, wie Limonaden-, Brauereibetrieb u. a., damit umzusetzen gilt. Somit wird praktikables Anwendungswissen zu Prozess, Hard- und Software didaktisch vermittelbar.</w:t>
      </w:r>
    </w:p>
    <w:p w:rsidR="000C0087" w:rsidRDefault="000C0087" w:rsidP="000C0087">
      <w:pPr>
        <w:jc w:val="center"/>
      </w:pPr>
    </w:p>
    <w:p w:rsidR="009B4FA2" w:rsidRPr="000337FF" w:rsidRDefault="00827C09" w:rsidP="009E41ED">
      <w:pPr>
        <w:jc w:val="both"/>
        <w:rPr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163830</wp:posOffset>
            </wp:positionV>
            <wp:extent cx="2619375" cy="1600200"/>
            <wp:effectExtent l="19050" t="0" r="9525" b="0"/>
            <wp:wrapTopAndBottom/>
            <wp:docPr id="146" name="Bild 146" descr="myd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myda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C77" w:rsidRPr="000337FF">
        <w:rPr>
          <w:i/>
        </w:rPr>
        <w:t>Bild 3: NI-myDAQ</w:t>
      </w:r>
    </w:p>
    <w:p w:rsidR="006F2FC8" w:rsidRDefault="006F2FC8" w:rsidP="000A273A">
      <w:pPr>
        <w:spacing w:after="120"/>
        <w:rPr>
          <w:b/>
        </w:rPr>
      </w:pPr>
    </w:p>
    <w:p w:rsidR="000A273A" w:rsidRDefault="000A273A" w:rsidP="000A273A">
      <w:pPr>
        <w:spacing w:after="120"/>
        <w:rPr>
          <w:b/>
        </w:rPr>
      </w:pPr>
      <w:r w:rsidRPr="000A273A">
        <w:rPr>
          <w:b/>
        </w:rPr>
        <w:t xml:space="preserve">Tanksteuerung für Zutatenmischung </w:t>
      </w:r>
    </w:p>
    <w:p w:rsidR="00EE07EC" w:rsidRPr="00EE07EC" w:rsidRDefault="00EE07EC" w:rsidP="0006672C">
      <w:pPr>
        <w:jc w:val="both"/>
      </w:pPr>
      <w:r>
        <w:t xml:space="preserve">Im Vorfeld der Erarbeitung des </w:t>
      </w:r>
      <w:r>
        <w:rPr>
          <w:i/>
        </w:rPr>
        <w:t xml:space="preserve">Dobiosi.vi </w:t>
      </w:r>
      <w:r w:rsidR="007D5271">
        <w:t>erlernten die Schüler</w:t>
      </w:r>
      <w:r w:rsidR="00D174F6">
        <w:t xml:space="preserve"> die Programmierung</w:t>
      </w:r>
      <w:r w:rsidR="0006672C">
        <w:t xml:space="preserve"> einer simplen </w:t>
      </w:r>
      <w:r>
        <w:t xml:space="preserve">Tanksteuerung </w:t>
      </w:r>
      <w:r w:rsidR="0006672C">
        <w:t>z</w:t>
      </w:r>
      <w:r w:rsidR="0006672C" w:rsidRPr="000A273A">
        <w:t>ur</w:t>
      </w:r>
      <w:r w:rsidR="0006672C">
        <w:t xml:space="preserve"> Herstellung von Milchprodukten </w:t>
      </w:r>
      <w:r>
        <w:t>(Bild 4: Tanksteuerung).</w:t>
      </w:r>
    </w:p>
    <w:p w:rsidR="009A0756" w:rsidRDefault="00827C09" w:rsidP="009A0756">
      <w:pPr>
        <w:spacing w:after="120"/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956310</wp:posOffset>
            </wp:positionV>
            <wp:extent cx="5876925" cy="2505075"/>
            <wp:effectExtent l="19050" t="0" r="9525" b="0"/>
            <wp:wrapTight wrapText="bothSides">
              <wp:wrapPolygon edited="0">
                <wp:start x="-70" y="0"/>
                <wp:lineTo x="-70" y="21518"/>
                <wp:lineTo x="21635" y="21518"/>
                <wp:lineTo x="21635" y="0"/>
                <wp:lineTo x="-70" y="0"/>
              </wp:wrapPolygon>
            </wp:wrapTight>
            <wp:docPr id="147" name="Bild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4F6">
        <w:t>Dabei ist</w:t>
      </w:r>
      <w:r w:rsidR="00EE07EC">
        <w:t xml:space="preserve"> mit</w:t>
      </w:r>
      <w:r w:rsidR="0006672C">
        <w:t xml:space="preserve"> einem Drehregler die</w:t>
      </w:r>
      <w:r w:rsidR="00EE07EC" w:rsidRPr="00EE07EC">
        <w:t xml:space="preserve"> b</w:t>
      </w:r>
      <w:r w:rsidR="0006672C">
        <w:t>enötigte Füllmenge als Zi</w:t>
      </w:r>
      <w:r w:rsidR="00D174F6">
        <w:t>elmenge für den Tank einzustellen</w:t>
      </w:r>
      <w:r w:rsidR="0006672C">
        <w:t>. Der zugehörige</w:t>
      </w:r>
      <w:r w:rsidR="00EE07EC" w:rsidRPr="00EE07EC">
        <w:t xml:space="preserve"> Pump</w:t>
      </w:r>
      <w:r w:rsidR="0006672C">
        <w:t xml:space="preserve">enschalter wird eingeschaltet und der Tank </w:t>
      </w:r>
      <w:r w:rsidR="00EE07EC" w:rsidRPr="00EE07EC">
        <w:t>bis zur Zielmenge gefüllt.</w:t>
      </w:r>
      <w:r w:rsidR="0006672C">
        <w:t xml:space="preserve"> Über einen Umschalter kann die Pumpe</w:t>
      </w:r>
      <w:r w:rsidR="00EE07EC" w:rsidRPr="00EE07EC">
        <w:t xml:space="preserve"> zwi</w:t>
      </w:r>
      <w:r w:rsidR="0006672C">
        <w:t>schen Füllen und Leeren alternierend betrieben werden</w:t>
      </w:r>
      <w:r w:rsidR="00EE07EC" w:rsidRPr="00EE07EC">
        <w:t>.</w:t>
      </w:r>
      <w:r w:rsidR="0006672C">
        <w:t xml:space="preserve"> Das </w:t>
      </w:r>
      <w:r w:rsidR="00342870">
        <w:t>Stoppen des Pumpenbetrieb</w:t>
      </w:r>
      <w:r w:rsidR="00EE07EC" w:rsidRPr="00EE07EC">
        <w:t xml:space="preserve">s </w:t>
      </w:r>
      <w:r w:rsidR="0006672C">
        <w:t xml:space="preserve">erfolgt dann </w:t>
      </w:r>
      <w:r w:rsidR="00EE07EC" w:rsidRPr="00EE07EC">
        <w:t>durch Ausschalten des Pumpenschalters</w:t>
      </w:r>
      <w:r w:rsidR="0006672C">
        <w:t>.</w:t>
      </w:r>
    </w:p>
    <w:p w:rsidR="000635B9" w:rsidRPr="00342870" w:rsidRDefault="000A273A" w:rsidP="00342870">
      <w:pPr>
        <w:jc w:val="center"/>
        <w:rPr>
          <w:i/>
        </w:rPr>
      </w:pPr>
      <w:r w:rsidRPr="00342870">
        <w:rPr>
          <w:i/>
        </w:rPr>
        <w:t>Bild 4: Tanksteuerung</w:t>
      </w:r>
    </w:p>
    <w:p w:rsidR="00E92028" w:rsidRDefault="000635B9" w:rsidP="00342870">
      <w:pPr>
        <w:spacing w:before="120"/>
      </w:pPr>
      <w:r>
        <w:t>In Anerkennung ihrer Leistungen konnte nach Teilnahme an einem 5-Tage-LabVIEW-Kurs ausgewähl</w:t>
      </w:r>
      <w:r w:rsidR="00342870">
        <w:t>ten Schülern das LabVIEW Core I-</w:t>
      </w:r>
      <w:r>
        <w:t>Zertifikat erteilt werden.</w:t>
      </w:r>
    </w:p>
    <w:p w:rsidR="00E92028" w:rsidRDefault="00E92028" w:rsidP="003251FB">
      <w:pPr>
        <w:jc w:val="center"/>
      </w:pPr>
    </w:p>
    <w:p w:rsidR="00E92028" w:rsidRDefault="001923A9" w:rsidP="009E41ED">
      <w:pPr>
        <w:jc w:val="both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left:0;text-align:left;margin-left:256.9pt;margin-top:.85pt;width:204.75pt;height:285.45pt;z-index:251655680;mso-width-relative:margin;mso-height-relative:margin">
            <v:textbox>
              <w:txbxContent>
                <w:p w:rsidR="00342870" w:rsidRDefault="00342870" w:rsidP="00B6778C">
                  <w:pPr>
                    <w:jc w:val="center"/>
                  </w:pPr>
                </w:p>
                <w:p w:rsidR="00342870" w:rsidRDefault="00342870" w:rsidP="00B6778C">
                  <w:pPr>
                    <w:jc w:val="center"/>
                  </w:pPr>
                  <w:r>
                    <w:t>LabVIEW Core I-Zertifikat</w:t>
                  </w:r>
                </w:p>
                <w:p w:rsidR="00342870" w:rsidRDefault="00342870" w:rsidP="00B6778C">
                  <w:pPr>
                    <w:jc w:val="center"/>
                  </w:pPr>
                  <w:r>
                    <w:t>mit den Lehrinhalten:</w:t>
                  </w:r>
                </w:p>
                <w:p w:rsidR="00342870" w:rsidRDefault="00342870" w:rsidP="00B6778C"/>
                <w:p w:rsidR="00342870" w:rsidRDefault="00342870" w:rsidP="00B6778C">
                  <w:r>
                    <w:t>Einführung in LabVIEW</w:t>
                  </w:r>
                </w:p>
                <w:p w:rsidR="00342870" w:rsidRDefault="00342870" w:rsidP="00B6778C">
                  <w:r>
                    <w:t>Erstellung von VIs und SubVIs</w:t>
                  </w:r>
                </w:p>
                <w:p w:rsidR="00342870" w:rsidRDefault="00342870" w:rsidP="00B6778C">
                  <w:r>
                    <w:t>Schleifen und Schieberegister</w:t>
                  </w:r>
                </w:p>
                <w:p w:rsidR="00342870" w:rsidRDefault="00342870" w:rsidP="00B6778C">
                  <w:r>
                    <w:t>Darstellung von Daten auf Schreibern</w:t>
                  </w:r>
                </w:p>
                <w:p w:rsidR="00342870" w:rsidRDefault="00342870" w:rsidP="00B6778C">
                  <w:r>
                    <w:t>Arrays und Grafen</w:t>
                  </w:r>
                </w:p>
                <w:p w:rsidR="00342870" w:rsidRDefault="00342870" w:rsidP="00B6778C">
                  <w:r>
                    <w:t>Darstellung von Daten auf Grafen</w:t>
                  </w:r>
                </w:p>
                <w:p w:rsidR="00342870" w:rsidRDefault="00342870" w:rsidP="00B6778C">
                  <w:r>
                    <w:t>Case- und Sequenz-Strukturen</w:t>
                  </w:r>
                </w:p>
                <w:p w:rsidR="00342870" w:rsidRDefault="00342870" w:rsidP="00B6778C">
                  <w:r>
                    <w:t>Formelknoten</w:t>
                  </w:r>
                </w:p>
                <w:p w:rsidR="00342870" w:rsidRDefault="00342870" w:rsidP="00B6778C">
                  <w:r>
                    <w:t>Strings und Datei I/O</w:t>
                  </w:r>
                </w:p>
                <w:p w:rsidR="00342870" w:rsidRDefault="00342870" w:rsidP="00B6778C">
                  <w:r>
                    <w:t>Datenformatierung</w:t>
                  </w:r>
                </w:p>
                <w:p w:rsidR="00342870" w:rsidRDefault="00342870" w:rsidP="00B6778C">
                  <w:r>
                    <w:t>VI-Konfigurationsoptionen</w:t>
                  </w:r>
                </w:p>
                <w:p w:rsidR="00342870" w:rsidRDefault="00342870" w:rsidP="00B6778C">
                  <w:r>
                    <w:t>Datenerfassung mit DAQ-Assistent</w:t>
                  </w:r>
                </w:p>
                <w:p w:rsidR="00342870" w:rsidRDefault="00342870" w:rsidP="00B6778C">
                  <w:r>
                    <w:t xml:space="preserve">Gerätesteuerung </w:t>
                  </w:r>
                </w:p>
                <w:p w:rsidR="00342870" w:rsidRDefault="00342870" w:rsidP="00B6778C">
                  <w:r>
                    <w:t>VI-Optionen</w:t>
                  </w:r>
                </w:p>
                <w:p w:rsidR="00342870" w:rsidRDefault="00342870" w:rsidP="00B6778C"/>
              </w:txbxContent>
            </v:textbox>
          </v:shape>
        </w:pict>
      </w:r>
      <w:r w:rsidR="00827C09">
        <w:rPr>
          <w:noProof/>
        </w:rPr>
        <w:drawing>
          <wp:inline distT="0" distB="0" distL="0" distR="0">
            <wp:extent cx="2855595" cy="3609340"/>
            <wp:effectExtent l="19050" t="19050" r="20955" b="10160"/>
            <wp:docPr id="1" name="Bild 1" descr="P106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603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609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7DC2" w:rsidRPr="000337FF" w:rsidRDefault="004953C5" w:rsidP="000337FF">
      <w:pPr>
        <w:spacing w:before="120"/>
        <w:rPr>
          <w:i/>
        </w:rPr>
      </w:pPr>
      <w:r w:rsidRPr="000337FF">
        <w:rPr>
          <w:i/>
        </w:rPr>
        <w:t xml:space="preserve">Bild 5: </w:t>
      </w:r>
      <w:r w:rsidR="00EE63C8" w:rsidRPr="000337FF">
        <w:rPr>
          <w:i/>
        </w:rPr>
        <w:t>Armin Hir</w:t>
      </w:r>
      <w:r w:rsidR="007A7DC2" w:rsidRPr="000337FF">
        <w:rPr>
          <w:i/>
        </w:rPr>
        <w:t>che</w:t>
      </w:r>
      <w:r w:rsidR="00342870">
        <w:rPr>
          <w:i/>
        </w:rPr>
        <w:t xml:space="preserve"> mit LabVIEW Core I-</w:t>
      </w:r>
      <w:r w:rsidR="000A273A" w:rsidRPr="00342870">
        <w:rPr>
          <w:i/>
        </w:rPr>
        <w:t>Zertifikat</w:t>
      </w:r>
    </w:p>
    <w:p w:rsidR="00EB5B92" w:rsidRDefault="00EB5B92" w:rsidP="009C390F">
      <w:pPr>
        <w:spacing w:after="120"/>
        <w:rPr>
          <w:b/>
        </w:rPr>
      </w:pPr>
    </w:p>
    <w:p w:rsidR="00DE1CC5" w:rsidRPr="00BA7ED0" w:rsidRDefault="00EB2403" w:rsidP="009C390F">
      <w:pPr>
        <w:spacing w:after="120"/>
      </w:pPr>
      <w:r w:rsidRPr="008719B5">
        <w:rPr>
          <w:b/>
        </w:rPr>
        <w:t xml:space="preserve">Zusammenfassung </w:t>
      </w:r>
    </w:p>
    <w:p w:rsidR="00DD51E3" w:rsidRPr="008719B5" w:rsidRDefault="002D0B10" w:rsidP="0026469C">
      <w:pPr>
        <w:spacing w:after="120"/>
        <w:jc w:val="both"/>
      </w:pPr>
      <w:r w:rsidRPr="008719B5">
        <w:t xml:space="preserve">Das </w:t>
      </w:r>
      <w:r w:rsidR="00472E1E">
        <w:t>in Projektarbeit am BSZ Berufliches Schulzentrum des Gastgewerbes von Schülern</w:t>
      </w:r>
      <w:r w:rsidRPr="008719B5">
        <w:t xml:space="preserve"> applizierte </w:t>
      </w:r>
      <w:r w:rsidR="00472E1E">
        <w:rPr>
          <w:i/>
        </w:rPr>
        <w:t>Dobiosi</w:t>
      </w:r>
      <w:r w:rsidRPr="008719B5">
        <w:rPr>
          <w:i/>
        </w:rPr>
        <w:t>.vi</w:t>
      </w:r>
      <w:r w:rsidR="001B12E7" w:rsidRPr="008719B5">
        <w:t xml:space="preserve"> dient</w:t>
      </w:r>
      <w:r w:rsidRPr="008719B5">
        <w:t xml:space="preserve"> als LabVIEW-Steuerung zur Sim</w:t>
      </w:r>
      <w:r w:rsidR="00472E1E">
        <w:t>ulation einer Bioreaktor</w:t>
      </w:r>
      <w:r w:rsidRPr="008719B5">
        <w:t>-Anlage</w:t>
      </w:r>
      <w:r w:rsidR="001B12E7" w:rsidRPr="008719B5">
        <w:t>. Gle</w:t>
      </w:r>
      <w:r w:rsidR="00472E1E">
        <w:t xml:space="preserve">ichzeitig lässt sich </w:t>
      </w:r>
      <w:r w:rsidRPr="008719B5">
        <w:t>die praktis</w:t>
      </w:r>
      <w:r w:rsidR="001B12E7" w:rsidRPr="008719B5">
        <w:t>che Umsetzung</w:t>
      </w:r>
      <w:r w:rsidR="00342870">
        <w:t xml:space="preserve"> des Simulationsprogramm</w:t>
      </w:r>
      <w:r w:rsidR="00472E1E">
        <w:t>s</w:t>
      </w:r>
      <w:r w:rsidR="00342870">
        <w:t xml:space="preserve"> </w:t>
      </w:r>
      <w:r w:rsidR="00472E1E">
        <w:t xml:space="preserve">in Verbindung mit NI-myDAQ und dem Prozess-Reaktor der </w:t>
      </w:r>
      <w:r w:rsidR="0026469C">
        <w:t xml:space="preserve">TU-Lehrwerkstatt </w:t>
      </w:r>
      <w:r w:rsidR="00472E1E">
        <w:t xml:space="preserve">Dresden </w:t>
      </w:r>
      <w:r w:rsidR="001B12E7" w:rsidRPr="008719B5">
        <w:t>erreichen</w:t>
      </w:r>
      <w:r w:rsidR="0026469C">
        <w:t xml:space="preserve"> (Bild 6)</w:t>
      </w:r>
      <w:r w:rsidR="00115C92" w:rsidRPr="008719B5">
        <w:t>.</w:t>
      </w:r>
      <w:r w:rsidRPr="008719B5">
        <w:t xml:space="preserve"> </w:t>
      </w:r>
    </w:p>
    <w:p w:rsidR="0026469C" w:rsidRDefault="00827C09" w:rsidP="00115C92">
      <w:pPr>
        <w:spacing w:after="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42940" cy="3304540"/>
            <wp:effectExtent l="19050" t="0" r="0" b="0"/>
            <wp:docPr id="2" name="Bild 2" descr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3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9C" w:rsidRPr="00342870" w:rsidRDefault="0026469C" w:rsidP="00342870">
      <w:pPr>
        <w:spacing w:before="120" w:after="60"/>
        <w:jc w:val="center"/>
        <w:rPr>
          <w:i/>
        </w:rPr>
      </w:pPr>
      <w:r w:rsidRPr="00342870">
        <w:rPr>
          <w:i/>
          <w:color w:val="000000"/>
        </w:rPr>
        <w:t>Bild 6: LabVIEW</w:t>
      </w:r>
      <w:r w:rsidR="001765AC" w:rsidRPr="00342870">
        <w:rPr>
          <w:i/>
          <w:color w:val="000000"/>
        </w:rPr>
        <w:t xml:space="preserve">-Unterricht mit NI USB-6009 </w:t>
      </w:r>
      <w:r w:rsidR="00E34082" w:rsidRPr="00342870">
        <w:rPr>
          <w:i/>
          <w:color w:val="000000"/>
        </w:rPr>
        <w:t>und Prozess-Reaktor</w:t>
      </w:r>
    </w:p>
    <w:p w:rsidR="00DD51E3" w:rsidRPr="008719B5" w:rsidRDefault="00115C92" w:rsidP="00115C92">
      <w:pPr>
        <w:spacing w:after="60"/>
      </w:pPr>
      <w:r w:rsidRPr="008719B5">
        <w:t>Als besonders hervorzuhebende</w:t>
      </w:r>
      <w:r w:rsidR="0040678A" w:rsidRPr="008719B5">
        <w:t xml:space="preserve"> Lerneffekte sind </w:t>
      </w:r>
      <w:r w:rsidR="00F92059" w:rsidRPr="008719B5">
        <w:t xml:space="preserve">dabei </w:t>
      </w:r>
      <w:r w:rsidR="0040678A" w:rsidRPr="008719B5">
        <w:t>zu nennen</w:t>
      </w:r>
      <w:r w:rsidRPr="008719B5">
        <w:t>:</w:t>
      </w:r>
    </w:p>
    <w:p w:rsidR="00115C92" w:rsidRPr="008719B5" w:rsidRDefault="00115C92" w:rsidP="0002543A">
      <w:pPr>
        <w:numPr>
          <w:ilvl w:val="0"/>
          <w:numId w:val="2"/>
        </w:numPr>
        <w:spacing w:after="60"/>
        <w:jc w:val="both"/>
      </w:pPr>
      <w:r w:rsidRPr="008719B5">
        <w:lastRenderedPageBreak/>
        <w:t xml:space="preserve">Erstellung anspruchsvoller Bedienoberflächen mit hohem Visualisierungsgrad </w:t>
      </w:r>
      <w:r w:rsidR="0002543A" w:rsidRPr="008719B5">
        <w:t xml:space="preserve">durch Einsatz virtueller Instrumente </w:t>
      </w:r>
      <w:r w:rsidR="00472E1E">
        <w:t xml:space="preserve">zur Simulation biotechnologischer </w:t>
      </w:r>
      <w:r w:rsidR="0040678A" w:rsidRPr="008719B5">
        <w:t>Applikation</w:t>
      </w:r>
      <w:r w:rsidR="00472E1E">
        <w:t>en</w:t>
      </w:r>
    </w:p>
    <w:p w:rsidR="00115C92" w:rsidRPr="008719B5" w:rsidRDefault="0002543A" w:rsidP="0002543A">
      <w:pPr>
        <w:numPr>
          <w:ilvl w:val="0"/>
          <w:numId w:val="2"/>
        </w:numPr>
        <w:spacing w:after="60"/>
        <w:jc w:val="both"/>
      </w:pPr>
      <w:r w:rsidRPr="008719B5">
        <w:t>Erhöhung de</w:t>
      </w:r>
      <w:r w:rsidR="007E03BF" w:rsidRPr="008719B5">
        <w:t>s Ausbildungsgrades und</w:t>
      </w:r>
      <w:r w:rsidRPr="008719B5">
        <w:t xml:space="preserve"> der Transparenz logischer Struk</w:t>
      </w:r>
      <w:r w:rsidR="00472E1E">
        <w:t>turen im Anwendungsbereich der Lebensmittelbranche</w:t>
      </w:r>
    </w:p>
    <w:p w:rsidR="0002543A" w:rsidRPr="008719B5" w:rsidRDefault="007E03BF" w:rsidP="00EB5B92">
      <w:pPr>
        <w:numPr>
          <w:ilvl w:val="0"/>
          <w:numId w:val="2"/>
        </w:numPr>
        <w:spacing w:after="60"/>
        <w:jc w:val="both"/>
      </w:pPr>
      <w:r w:rsidRPr="008719B5">
        <w:t>Erweiterung automatisierungstechnischer Kenntni</w:t>
      </w:r>
      <w:r w:rsidR="0040678A" w:rsidRPr="008719B5">
        <w:t>sse durch die Beherrschung des</w:t>
      </w:r>
      <w:r w:rsidRPr="008719B5">
        <w:t xml:space="preserve"> prozessinnovativen Software-Werkzeug</w:t>
      </w:r>
      <w:r w:rsidR="0040678A" w:rsidRPr="008719B5">
        <w:t>es LabVIEW</w:t>
      </w:r>
      <w:r w:rsidR="0026469C">
        <w:t xml:space="preserve"> und NI-Hardwarekomponenten</w:t>
      </w:r>
    </w:p>
    <w:p w:rsidR="0040678A" w:rsidRPr="008719B5" w:rsidRDefault="00D35F13" w:rsidP="00315C49">
      <w:pPr>
        <w:jc w:val="both"/>
        <w:rPr>
          <w:color w:val="000000"/>
        </w:rPr>
      </w:pPr>
      <w:r w:rsidRPr="008719B5">
        <w:rPr>
          <w:color w:val="000000"/>
        </w:rPr>
        <w:t xml:space="preserve">Gerade im Bereich </w:t>
      </w:r>
      <w:r w:rsidR="00472E1E">
        <w:rPr>
          <w:color w:val="000000"/>
        </w:rPr>
        <w:t xml:space="preserve">der </w:t>
      </w:r>
      <w:r w:rsidR="00F8530A" w:rsidRPr="008719B5">
        <w:rPr>
          <w:color w:val="000000"/>
        </w:rPr>
        <w:t>Labor- und Verfahrenstechnik werden qualifizierte Ingenieure zunehmend mit der Erstellung eigener Softwarelösungen</w:t>
      </w:r>
      <w:r w:rsidR="00472E1E">
        <w:rPr>
          <w:color w:val="000000"/>
        </w:rPr>
        <w:t xml:space="preserve"> in Bezug auf die Prozess-Automatisierung</w:t>
      </w:r>
      <w:r w:rsidR="00751E73" w:rsidRPr="008719B5">
        <w:rPr>
          <w:color w:val="000000"/>
        </w:rPr>
        <w:t xml:space="preserve"> konfrontiert und </w:t>
      </w:r>
      <w:r w:rsidR="00472E1E">
        <w:rPr>
          <w:color w:val="000000"/>
        </w:rPr>
        <w:t xml:space="preserve">müssen </w:t>
      </w:r>
      <w:r w:rsidR="009921C2">
        <w:rPr>
          <w:color w:val="000000"/>
        </w:rPr>
        <w:t xml:space="preserve">dabei </w:t>
      </w:r>
      <w:r w:rsidR="00472E1E">
        <w:rPr>
          <w:color w:val="000000"/>
        </w:rPr>
        <w:t>mit ihren Kenntnissen</w:t>
      </w:r>
      <w:r w:rsidR="00751E73" w:rsidRPr="008719B5">
        <w:rPr>
          <w:color w:val="000000"/>
        </w:rPr>
        <w:t xml:space="preserve"> den</w:t>
      </w:r>
      <w:r w:rsidR="00261C17" w:rsidRPr="008719B5">
        <w:rPr>
          <w:color w:val="000000"/>
        </w:rPr>
        <w:t xml:space="preserve"> zukünftigen Anforderungen gewachsen sein</w:t>
      </w:r>
      <w:r w:rsidR="003E3D7A">
        <w:rPr>
          <w:color w:val="000000"/>
        </w:rPr>
        <w:t xml:space="preserve"> [3]</w:t>
      </w:r>
      <w:r w:rsidR="00261C17" w:rsidRPr="008719B5">
        <w:rPr>
          <w:color w:val="000000"/>
        </w:rPr>
        <w:t>.</w:t>
      </w:r>
      <w:r w:rsidR="00F8530A" w:rsidRPr="008719B5">
        <w:rPr>
          <w:color w:val="000000"/>
        </w:rPr>
        <w:t xml:space="preserve"> </w:t>
      </w:r>
    </w:p>
    <w:p w:rsidR="00D35F13" w:rsidRPr="008719B5" w:rsidRDefault="00D35F13" w:rsidP="00315C49">
      <w:pPr>
        <w:jc w:val="both"/>
        <w:rPr>
          <w:color w:val="000000"/>
        </w:rPr>
      </w:pPr>
    </w:p>
    <w:p w:rsidR="00EB2403" w:rsidRPr="009B5062" w:rsidRDefault="00EB2403" w:rsidP="009B5062">
      <w:pPr>
        <w:spacing w:after="80"/>
        <w:rPr>
          <w:b/>
          <w:color w:val="000000"/>
        </w:rPr>
      </w:pPr>
      <w:r w:rsidRPr="008719B5">
        <w:rPr>
          <w:b/>
          <w:color w:val="000000"/>
        </w:rPr>
        <w:t>Literatur</w:t>
      </w:r>
    </w:p>
    <w:p w:rsidR="007B66F4" w:rsidRDefault="009B5062" w:rsidP="007B66F4">
      <w:pPr>
        <w:spacing w:before="120"/>
        <w:ind w:left="705" w:hanging="705"/>
        <w:rPr>
          <w:bCs/>
        </w:rPr>
      </w:pPr>
      <w:r>
        <w:rPr>
          <w:color w:val="000000"/>
        </w:rPr>
        <w:t>[1</w:t>
      </w:r>
      <w:r w:rsidR="006D421B" w:rsidRPr="008719B5">
        <w:rPr>
          <w:color w:val="000000"/>
        </w:rPr>
        <w:t>]</w:t>
      </w:r>
      <w:r w:rsidR="00AE7617" w:rsidRPr="008719B5">
        <w:rPr>
          <w:color w:val="000000"/>
        </w:rPr>
        <w:tab/>
      </w:r>
      <w:r w:rsidR="00D90342" w:rsidRPr="00D90342">
        <w:rPr>
          <w:bCs/>
        </w:rPr>
        <w:t>Schneider,</w:t>
      </w:r>
      <w:r w:rsidR="000E6B95">
        <w:rPr>
          <w:bCs/>
        </w:rPr>
        <w:t xml:space="preserve"> H.;</w:t>
      </w:r>
      <w:r w:rsidR="00D90342" w:rsidRPr="00D90342">
        <w:rPr>
          <w:bCs/>
        </w:rPr>
        <w:t xml:space="preserve"> Teichfischer</w:t>
      </w:r>
      <w:r w:rsidR="000E6B95">
        <w:rPr>
          <w:bCs/>
        </w:rPr>
        <w:t>, B.</w:t>
      </w:r>
      <w:r w:rsidR="00D90342" w:rsidRPr="00D90342">
        <w:rPr>
          <w:bCs/>
        </w:rPr>
        <w:t>: Umweltdaten-Erfassung und Steuerung eines Koi-Teiches</w:t>
      </w:r>
      <w:r w:rsidR="00D90342">
        <w:rPr>
          <w:bCs/>
        </w:rPr>
        <w:t xml:space="preserve">; </w:t>
      </w:r>
      <w:r w:rsidR="00D90342" w:rsidRPr="00D90342">
        <w:rPr>
          <w:bCs/>
        </w:rPr>
        <w:t>Begleitband zum National Instruments Kongress VIP 2010</w:t>
      </w:r>
      <w:r w:rsidR="00C80D02">
        <w:rPr>
          <w:bCs/>
        </w:rPr>
        <w:t>, S. 418</w:t>
      </w:r>
      <w:r w:rsidR="000E6B95">
        <w:rPr>
          <w:bCs/>
        </w:rPr>
        <w:t xml:space="preserve">, </w:t>
      </w:r>
      <w:r w:rsidR="00D90342" w:rsidRPr="00D90342">
        <w:rPr>
          <w:bCs/>
        </w:rPr>
        <w:t>Hüthig Jehle Rehm GmbH</w:t>
      </w:r>
      <w:r w:rsidR="000E6B95">
        <w:rPr>
          <w:bCs/>
        </w:rPr>
        <w:t>,</w:t>
      </w:r>
      <w:r w:rsidR="00D90342" w:rsidRPr="00D90342">
        <w:rPr>
          <w:bCs/>
        </w:rPr>
        <w:t xml:space="preserve"> Heidelberg</w:t>
      </w:r>
      <w:r w:rsidR="007B66F4">
        <w:rPr>
          <w:bCs/>
        </w:rPr>
        <w:t>.</w:t>
      </w:r>
    </w:p>
    <w:p w:rsidR="009B5062" w:rsidRDefault="009B5062" w:rsidP="000E6B95">
      <w:pPr>
        <w:spacing w:before="120"/>
        <w:ind w:left="705" w:hanging="705"/>
        <w:rPr>
          <w:color w:val="000000"/>
        </w:rPr>
      </w:pPr>
      <w:r>
        <w:rPr>
          <w:color w:val="000000"/>
        </w:rPr>
        <w:t>[2</w:t>
      </w:r>
      <w:r w:rsidR="006D421B" w:rsidRPr="008719B5">
        <w:rPr>
          <w:color w:val="000000"/>
        </w:rPr>
        <w:t>]</w:t>
      </w:r>
      <w:r w:rsidR="009E619F" w:rsidRPr="008719B5">
        <w:rPr>
          <w:color w:val="000000"/>
        </w:rPr>
        <w:tab/>
      </w:r>
      <w:r w:rsidR="00D90342">
        <w:rPr>
          <w:color w:val="000000"/>
        </w:rPr>
        <w:t>Arnh</w:t>
      </w:r>
      <w:r w:rsidR="00472E1E">
        <w:rPr>
          <w:color w:val="000000"/>
        </w:rPr>
        <w:t>old</w:t>
      </w:r>
      <w:r w:rsidR="000E6B95">
        <w:rPr>
          <w:color w:val="000000"/>
        </w:rPr>
        <w:t>, M.</w:t>
      </w:r>
      <w:r w:rsidR="00472E1E">
        <w:rPr>
          <w:color w:val="000000"/>
        </w:rPr>
        <w:t xml:space="preserve"> </w:t>
      </w:r>
      <w:r w:rsidR="00342870">
        <w:rPr>
          <w:color w:val="000000"/>
        </w:rPr>
        <w:t>u. a.</w:t>
      </w:r>
      <w:r w:rsidR="00472E1E">
        <w:rPr>
          <w:color w:val="000000"/>
        </w:rPr>
        <w:t>: Kurzdokumentation „Prozess-R</w:t>
      </w:r>
      <w:r w:rsidR="00D90342">
        <w:rPr>
          <w:color w:val="000000"/>
        </w:rPr>
        <w:t>eaktor der</w:t>
      </w:r>
      <w:r w:rsidR="00342870">
        <w:rPr>
          <w:color w:val="000000"/>
        </w:rPr>
        <w:t xml:space="preserve"> </w:t>
      </w:r>
      <w:r w:rsidR="00D90342">
        <w:rPr>
          <w:color w:val="000000"/>
        </w:rPr>
        <w:t>TU-Lehrwerkstatt</w:t>
      </w:r>
      <w:r w:rsidR="00472E1E">
        <w:rPr>
          <w:color w:val="000000"/>
        </w:rPr>
        <w:t>“</w:t>
      </w:r>
      <w:r w:rsidR="000E6B95">
        <w:rPr>
          <w:color w:val="000000"/>
        </w:rPr>
        <w:t xml:space="preserve">, </w:t>
      </w:r>
      <w:r w:rsidR="00D90342">
        <w:rPr>
          <w:color w:val="000000"/>
        </w:rPr>
        <w:t>Technische Universität</w:t>
      </w:r>
      <w:r w:rsidR="00342870">
        <w:rPr>
          <w:color w:val="000000"/>
        </w:rPr>
        <w:t xml:space="preserve"> </w:t>
      </w:r>
      <w:r w:rsidR="00D90342">
        <w:rPr>
          <w:color w:val="000000"/>
        </w:rPr>
        <w:t>Dresden</w:t>
      </w:r>
    </w:p>
    <w:p w:rsidR="009B5062" w:rsidRPr="009B5062" w:rsidRDefault="009B5062" w:rsidP="000E6B95">
      <w:pPr>
        <w:spacing w:before="120"/>
        <w:ind w:left="709" w:hanging="709"/>
        <w:jc w:val="both"/>
      </w:pPr>
      <w:r w:rsidRPr="00EB5B92">
        <w:rPr>
          <w:color w:val="000000"/>
        </w:rPr>
        <w:t>[3]</w:t>
      </w:r>
      <w:r w:rsidRPr="00EB5B92">
        <w:rPr>
          <w:color w:val="000000"/>
        </w:rPr>
        <w:tab/>
      </w:r>
      <w:r w:rsidRPr="00EB5B92">
        <w:t>Jamal</w:t>
      </w:r>
      <w:r w:rsidR="000E6B95" w:rsidRPr="00EB5B92">
        <w:t>, R.</w:t>
      </w:r>
      <w:r w:rsidRPr="00EB5B92">
        <w:t>: Green Engineering in der Praxis</w:t>
      </w:r>
      <w:r w:rsidR="000E6B95" w:rsidRPr="00EB5B92">
        <w:t xml:space="preserve">, </w:t>
      </w:r>
      <w:r>
        <w:t>Begleitband zum Kongress VIP 2009</w:t>
      </w:r>
      <w:r w:rsidR="000E6B95">
        <w:t xml:space="preserve">, </w:t>
      </w:r>
      <w:r>
        <w:t>Hüthig Jehle Rehm GmbH</w:t>
      </w:r>
      <w:r w:rsidR="000E6B95">
        <w:t>,</w:t>
      </w:r>
      <w:r>
        <w:t xml:space="preserve"> Heidelberg (2009)</w:t>
      </w:r>
    </w:p>
    <w:p w:rsidR="009B5062" w:rsidRPr="008719B5" w:rsidRDefault="009B5062" w:rsidP="009B5062">
      <w:pPr>
        <w:rPr>
          <w:color w:val="000000"/>
        </w:rPr>
      </w:pPr>
    </w:p>
    <w:p w:rsidR="00234A48" w:rsidRPr="00F90BFB" w:rsidRDefault="00234A48" w:rsidP="00CA59A0">
      <w:pPr>
        <w:rPr>
          <w:color w:val="000000"/>
          <w:sz w:val="22"/>
          <w:szCs w:val="22"/>
        </w:rPr>
      </w:pPr>
    </w:p>
    <w:sectPr w:rsidR="00234A48" w:rsidRPr="00F90B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E07"/>
    <w:multiLevelType w:val="hybridMultilevel"/>
    <w:tmpl w:val="B7AAAB68"/>
    <w:lvl w:ilvl="0" w:tplc="C5861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4285D"/>
    <w:multiLevelType w:val="hybridMultilevel"/>
    <w:tmpl w:val="62ACED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F3AEA"/>
    <w:multiLevelType w:val="hybridMultilevel"/>
    <w:tmpl w:val="D41CF4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0A48B4"/>
    <w:multiLevelType w:val="hybridMultilevel"/>
    <w:tmpl w:val="541C1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F4F53"/>
    <w:rsid w:val="00001DEB"/>
    <w:rsid w:val="000154DE"/>
    <w:rsid w:val="0002381B"/>
    <w:rsid w:val="0002543A"/>
    <w:rsid w:val="000337FF"/>
    <w:rsid w:val="000468D9"/>
    <w:rsid w:val="00046FA0"/>
    <w:rsid w:val="00054C98"/>
    <w:rsid w:val="00061CED"/>
    <w:rsid w:val="000635B9"/>
    <w:rsid w:val="000643B5"/>
    <w:rsid w:val="0006672C"/>
    <w:rsid w:val="00086CE0"/>
    <w:rsid w:val="0008752F"/>
    <w:rsid w:val="000919D7"/>
    <w:rsid w:val="00094BE3"/>
    <w:rsid w:val="000A273A"/>
    <w:rsid w:val="000C0087"/>
    <w:rsid w:val="000C039D"/>
    <w:rsid w:val="000C05F2"/>
    <w:rsid w:val="000C0861"/>
    <w:rsid w:val="000E26C1"/>
    <w:rsid w:val="000E3C20"/>
    <w:rsid w:val="000E6B95"/>
    <w:rsid w:val="00102BBD"/>
    <w:rsid w:val="00115C92"/>
    <w:rsid w:val="001220D5"/>
    <w:rsid w:val="00122B5D"/>
    <w:rsid w:val="0013603D"/>
    <w:rsid w:val="00151B67"/>
    <w:rsid w:val="0015760F"/>
    <w:rsid w:val="00161E01"/>
    <w:rsid w:val="001765AC"/>
    <w:rsid w:val="001923A9"/>
    <w:rsid w:val="0019352B"/>
    <w:rsid w:val="001A0F1D"/>
    <w:rsid w:val="001A2F6A"/>
    <w:rsid w:val="001B12E7"/>
    <w:rsid w:val="001B2E19"/>
    <w:rsid w:val="001B6F51"/>
    <w:rsid w:val="001C3013"/>
    <w:rsid w:val="001C578C"/>
    <w:rsid w:val="001C61F7"/>
    <w:rsid w:val="001D7205"/>
    <w:rsid w:val="00200662"/>
    <w:rsid w:val="0022204D"/>
    <w:rsid w:val="0022227B"/>
    <w:rsid w:val="00226E27"/>
    <w:rsid w:val="00234A48"/>
    <w:rsid w:val="0024298D"/>
    <w:rsid w:val="002533DF"/>
    <w:rsid w:val="00253A51"/>
    <w:rsid w:val="00260072"/>
    <w:rsid w:val="00261912"/>
    <w:rsid w:val="00261C17"/>
    <w:rsid w:val="0026469C"/>
    <w:rsid w:val="00267050"/>
    <w:rsid w:val="00273515"/>
    <w:rsid w:val="0028662F"/>
    <w:rsid w:val="002A484A"/>
    <w:rsid w:val="002B1DDB"/>
    <w:rsid w:val="002C3F56"/>
    <w:rsid w:val="002D0B10"/>
    <w:rsid w:val="002D0C9F"/>
    <w:rsid w:val="002D6AB4"/>
    <w:rsid w:val="002E0EB2"/>
    <w:rsid w:val="002F4980"/>
    <w:rsid w:val="00315C49"/>
    <w:rsid w:val="003251FB"/>
    <w:rsid w:val="003270DC"/>
    <w:rsid w:val="00335FC1"/>
    <w:rsid w:val="00342870"/>
    <w:rsid w:val="00354419"/>
    <w:rsid w:val="00354E2C"/>
    <w:rsid w:val="00354F5E"/>
    <w:rsid w:val="00363E22"/>
    <w:rsid w:val="003647E9"/>
    <w:rsid w:val="00375C7B"/>
    <w:rsid w:val="00376DEA"/>
    <w:rsid w:val="0038303C"/>
    <w:rsid w:val="003B1EC6"/>
    <w:rsid w:val="003B7AB6"/>
    <w:rsid w:val="003D1035"/>
    <w:rsid w:val="003D790B"/>
    <w:rsid w:val="003E3D7A"/>
    <w:rsid w:val="0040678A"/>
    <w:rsid w:val="00407955"/>
    <w:rsid w:val="004153FE"/>
    <w:rsid w:val="00420C5F"/>
    <w:rsid w:val="00427696"/>
    <w:rsid w:val="00432BA9"/>
    <w:rsid w:val="004359FA"/>
    <w:rsid w:val="00435A9D"/>
    <w:rsid w:val="00445D19"/>
    <w:rsid w:val="00447ACD"/>
    <w:rsid w:val="004503EE"/>
    <w:rsid w:val="0045362B"/>
    <w:rsid w:val="00454468"/>
    <w:rsid w:val="00463311"/>
    <w:rsid w:val="00472C6F"/>
    <w:rsid w:val="00472E1E"/>
    <w:rsid w:val="00480E65"/>
    <w:rsid w:val="00492614"/>
    <w:rsid w:val="004953C5"/>
    <w:rsid w:val="00497E1A"/>
    <w:rsid w:val="004A4CEA"/>
    <w:rsid w:val="004B402F"/>
    <w:rsid w:val="004C1F17"/>
    <w:rsid w:val="004D6DA0"/>
    <w:rsid w:val="004F5283"/>
    <w:rsid w:val="004F5F4C"/>
    <w:rsid w:val="00503794"/>
    <w:rsid w:val="005117EC"/>
    <w:rsid w:val="00522D10"/>
    <w:rsid w:val="00525BDD"/>
    <w:rsid w:val="00542E1C"/>
    <w:rsid w:val="005511F4"/>
    <w:rsid w:val="00574555"/>
    <w:rsid w:val="005765A2"/>
    <w:rsid w:val="00577119"/>
    <w:rsid w:val="005857E0"/>
    <w:rsid w:val="005B2AED"/>
    <w:rsid w:val="005C13BC"/>
    <w:rsid w:val="005F1CAB"/>
    <w:rsid w:val="006138CF"/>
    <w:rsid w:val="00620221"/>
    <w:rsid w:val="00620B18"/>
    <w:rsid w:val="00624B7F"/>
    <w:rsid w:val="00625807"/>
    <w:rsid w:val="00633590"/>
    <w:rsid w:val="00671C35"/>
    <w:rsid w:val="00675737"/>
    <w:rsid w:val="006940C6"/>
    <w:rsid w:val="006A3D55"/>
    <w:rsid w:val="006B57EE"/>
    <w:rsid w:val="006C509C"/>
    <w:rsid w:val="006D2AD2"/>
    <w:rsid w:val="006D421B"/>
    <w:rsid w:val="006D708C"/>
    <w:rsid w:val="006E36A7"/>
    <w:rsid w:val="006E761D"/>
    <w:rsid w:val="006E784D"/>
    <w:rsid w:val="006F2FC8"/>
    <w:rsid w:val="007062FA"/>
    <w:rsid w:val="00737496"/>
    <w:rsid w:val="00751E73"/>
    <w:rsid w:val="007520A8"/>
    <w:rsid w:val="00753342"/>
    <w:rsid w:val="007644ED"/>
    <w:rsid w:val="00764D5F"/>
    <w:rsid w:val="00774DFF"/>
    <w:rsid w:val="007A7DC2"/>
    <w:rsid w:val="007B60C1"/>
    <w:rsid w:val="007B60FD"/>
    <w:rsid w:val="007B66F4"/>
    <w:rsid w:val="007B698A"/>
    <w:rsid w:val="007D5271"/>
    <w:rsid w:val="007E03BF"/>
    <w:rsid w:val="007E417E"/>
    <w:rsid w:val="007E4E91"/>
    <w:rsid w:val="007F43A4"/>
    <w:rsid w:val="00801B46"/>
    <w:rsid w:val="00827C09"/>
    <w:rsid w:val="00840C77"/>
    <w:rsid w:val="008438FF"/>
    <w:rsid w:val="00843E62"/>
    <w:rsid w:val="008719B5"/>
    <w:rsid w:val="00876474"/>
    <w:rsid w:val="00884F6F"/>
    <w:rsid w:val="008A4287"/>
    <w:rsid w:val="008A791D"/>
    <w:rsid w:val="008B0DF2"/>
    <w:rsid w:val="008C52E0"/>
    <w:rsid w:val="008D00F9"/>
    <w:rsid w:val="008E0E7A"/>
    <w:rsid w:val="008E0FD6"/>
    <w:rsid w:val="008E5AEC"/>
    <w:rsid w:val="008F03FB"/>
    <w:rsid w:val="008F4F53"/>
    <w:rsid w:val="00912D89"/>
    <w:rsid w:val="00921F16"/>
    <w:rsid w:val="00926D14"/>
    <w:rsid w:val="00931367"/>
    <w:rsid w:val="00932CD3"/>
    <w:rsid w:val="00952162"/>
    <w:rsid w:val="0095309B"/>
    <w:rsid w:val="00976667"/>
    <w:rsid w:val="009921C2"/>
    <w:rsid w:val="00997552"/>
    <w:rsid w:val="009A0756"/>
    <w:rsid w:val="009A5717"/>
    <w:rsid w:val="009A6C51"/>
    <w:rsid w:val="009A7081"/>
    <w:rsid w:val="009B4FA2"/>
    <w:rsid w:val="009B5062"/>
    <w:rsid w:val="009C1A7A"/>
    <w:rsid w:val="009C24FA"/>
    <w:rsid w:val="009C2F37"/>
    <w:rsid w:val="009C390F"/>
    <w:rsid w:val="009C3A71"/>
    <w:rsid w:val="009C6C31"/>
    <w:rsid w:val="009D69DA"/>
    <w:rsid w:val="009E41ED"/>
    <w:rsid w:val="009E619F"/>
    <w:rsid w:val="00A33C4B"/>
    <w:rsid w:val="00A87C91"/>
    <w:rsid w:val="00A90BDF"/>
    <w:rsid w:val="00A9364A"/>
    <w:rsid w:val="00A94EE4"/>
    <w:rsid w:val="00A956A0"/>
    <w:rsid w:val="00A95FA2"/>
    <w:rsid w:val="00AA3829"/>
    <w:rsid w:val="00AB59B1"/>
    <w:rsid w:val="00AC215B"/>
    <w:rsid w:val="00AC3341"/>
    <w:rsid w:val="00AD299A"/>
    <w:rsid w:val="00AD6E38"/>
    <w:rsid w:val="00AE7617"/>
    <w:rsid w:val="00AF5379"/>
    <w:rsid w:val="00AF603D"/>
    <w:rsid w:val="00AF7013"/>
    <w:rsid w:val="00B164A7"/>
    <w:rsid w:val="00B20647"/>
    <w:rsid w:val="00B22C61"/>
    <w:rsid w:val="00B25FBF"/>
    <w:rsid w:val="00B404D4"/>
    <w:rsid w:val="00B475A4"/>
    <w:rsid w:val="00B53CCA"/>
    <w:rsid w:val="00B579DB"/>
    <w:rsid w:val="00B600EB"/>
    <w:rsid w:val="00B654A0"/>
    <w:rsid w:val="00B6778C"/>
    <w:rsid w:val="00B76F4B"/>
    <w:rsid w:val="00B82D74"/>
    <w:rsid w:val="00B837F5"/>
    <w:rsid w:val="00B865EB"/>
    <w:rsid w:val="00B90011"/>
    <w:rsid w:val="00B97415"/>
    <w:rsid w:val="00BA7ED0"/>
    <w:rsid w:val="00BB4359"/>
    <w:rsid w:val="00BB51CF"/>
    <w:rsid w:val="00BC6F87"/>
    <w:rsid w:val="00BC73AA"/>
    <w:rsid w:val="00BD0783"/>
    <w:rsid w:val="00BE6470"/>
    <w:rsid w:val="00BF20D3"/>
    <w:rsid w:val="00BF378E"/>
    <w:rsid w:val="00C21FF9"/>
    <w:rsid w:val="00C53539"/>
    <w:rsid w:val="00C62735"/>
    <w:rsid w:val="00C80D02"/>
    <w:rsid w:val="00C87413"/>
    <w:rsid w:val="00CA553C"/>
    <w:rsid w:val="00CA59A0"/>
    <w:rsid w:val="00CB33EF"/>
    <w:rsid w:val="00CC2F67"/>
    <w:rsid w:val="00CC7DC8"/>
    <w:rsid w:val="00CD14EE"/>
    <w:rsid w:val="00CF14EF"/>
    <w:rsid w:val="00CF1603"/>
    <w:rsid w:val="00D017C1"/>
    <w:rsid w:val="00D027D1"/>
    <w:rsid w:val="00D03903"/>
    <w:rsid w:val="00D03A71"/>
    <w:rsid w:val="00D174F6"/>
    <w:rsid w:val="00D30E21"/>
    <w:rsid w:val="00D311E6"/>
    <w:rsid w:val="00D34567"/>
    <w:rsid w:val="00D34B41"/>
    <w:rsid w:val="00D35F13"/>
    <w:rsid w:val="00D37B07"/>
    <w:rsid w:val="00D45EAC"/>
    <w:rsid w:val="00D5675D"/>
    <w:rsid w:val="00D64D81"/>
    <w:rsid w:val="00D66928"/>
    <w:rsid w:val="00D7097D"/>
    <w:rsid w:val="00D806D2"/>
    <w:rsid w:val="00D90342"/>
    <w:rsid w:val="00D91A27"/>
    <w:rsid w:val="00D92D17"/>
    <w:rsid w:val="00DA1EAF"/>
    <w:rsid w:val="00DA20E6"/>
    <w:rsid w:val="00DA2467"/>
    <w:rsid w:val="00DA4CB2"/>
    <w:rsid w:val="00DA5285"/>
    <w:rsid w:val="00DA7D34"/>
    <w:rsid w:val="00DB3668"/>
    <w:rsid w:val="00DC5FDC"/>
    <w:rsid w:val="00DD51E3"/>
    <w:rsid w:val="00DE1CC5"/>
    <w:rsid w:val="00DE2157"/>
    <w:rsid w:val="00DE2F2A"/>
    <w:rsid w:val="00DE3E86"/>
    <w:rsid w:val="00DF6210"/>
    <w:rsid w:val="00DF65C1"/>
    <w:rsid w:val="00E07065"/>
    <w:rsid w:val="00E1764A"/>
    <w:rsid w:val="00E229C1"/>
    <w:rsid w:val="00E257C3"/>
    <w:rsid w:val="00E3290D"/>
    <w:rsid w:val="00E34082"/>
    <w:rsid w:val="00E425D5"/>
    <w:rsid w:val="00E43BA4"/>
    <w:rsid w:val="00E445DA"/>
    <w:rsid w:val="00E47434"/>
    <w:rsid w:val="00E5182E"/>
    <w:rsid w:val="00E51C26"/>
    <w:rsid w:val="00E60B11"/>
    <w:rsid w:val="00E70C14"/>
    <w:rsid w:val="00E71630"/>
    <w:rsid w:val="00E82F0F"/>
    <w:rsid w:val="00E91C63"/>
    <w:rsid w:val="00E92028"/>
    <w:rsid w:val="00EA0F98"/>
    <w:rsid w:val="00EA6B9C"/>
    <w:rsid w:val="00EB2403"/>
    <w:rsid w:val="00EB37EE"/>
    <w:rsid w:val="00EB5B92"/>
    <w:rsid w:val="00EB64B9"/>
    <w:rsid w:val="00EB7FA8"/>
    <w:rsid w:val="00EC0B1D"/>
    <w:rsid w:val="00EC0DD6"/>
    <w:rsid w:val="00ED2F6A"/>
    <w:rsid w:val="00ED3BBE"/>
    <w:rsid w:val="00EE07EC"/>
    <w:rsid w:val="00EE3EA9"/>
    <w:rsid w:val="00EE4B2A"/>
    <w:rsid w:val="00EE63C8"/>
    <w:rsid w:val="00EF6D19"/>
    <w:rsid w:val="00F00650"/>
    <w:rsid w:val="00F052D3"/>
    <w:rsid w:val="00F1031C"/>
    <w:rsid w:val="00F11324"/>
    <w:rsid w:val="00F157D2"/>
    <w:rsid w:val="00F21B45"/>
    <w:rsid w:val="00F23620"/>
    <w:rsid w:val="00F24650"/>
    <w:rsid w:val="00F25C82"/>
    <w:rsid w:val="00F27EDE"/>
    <w:rsid w:val="00F36EBC"/>
    <w:rsid w:val="00F44E3C"/>
    <w:rsid w:val="00F550B0"/>
    <w:rsid w:val="00F6251E"/>
    <w:rsid w:val="00F8530A"/>
    <w:rsid w:val="00F861CF"/>
    <w:rsid w:val="00F86B65"/>
    <w:rsid w:val="00F90BFB"/>
    <w:rsid w:val="00F92059"/>
    <w:rsid w:val="00F93B0B"/>
    <w:rsid w:val="00FA1274"/>
    <w:rsid w:val="00FD2E5F"/>
    <w:rsid w:val="00FD7B1C"/>
    <w:rsid w:val="00F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9B4F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semiHidden/>
    <w:unhideWhenUsed/>
    <w:rsid w:val="00921F16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22204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511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7B60FD"/>
    <w:rPr>
      <w:color w:val="0000FF"/>
      <w:u w:val="single"/>
    </w:rPr>
  </w:style>
  <w:style w:type="character" w:customStyle="1" w:styleId="red">
    <w:name w:val="red"/>
    <w:basedOn w:val="Absatz-Standardschriftart"/>
    <w:rsid w:val="00492614"/>
  </w:style>
  <w:style w:type="character" w:customStyle="1" w:styleId="longtext">
    <w:name w:val="long_text"/>
    <w:basedOn w:val="Absatz-Standardschriftart"/>
    <w:rsid w:val="00620B18"/>
  </w:style>
  <w:style w:type="character" w:customStyle="1" w:styleId="berschrift3Zchn">
    <w:name w:val="Überschrift 3 Zchn"/>
    <w:basedOn w:val="Absatz-Standardschriftart"/>
    <w:link w:val="berschrift3"/>
    <w:uiPriority w:val="9"/>
    <w:rsid w:val="009B4FA2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LabVIEW-Steuerung zur Simulation der Solarpositionierung einer Photovoltaik-Anlage</vt:lpstr>
    </vt:vector>
  </TitlesOfParts>
  <Company>Home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LabVIEW-Steuerung zur Simulation der Solarpositionierung einer Photovoltaik-Anlage</dc:title>
  <dc:creator>ADMIN</dc:creator>
  <cp:lastModifiedBy>Windows User</cp:lastModifiedBy>
  <cp:revision>3</cp:revision>
  <dcterms:created xsi:type="dcterms:W3CDTF">2016-11-21T12:16:00Z</dcterms:created>
  <dcterms:modified xsi:type="dcterms:W3CDTF">2016-11-21T12:16:00Z</dcterms:modified>
</cp:coreProperties>
</file>